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9E4" w:rsidRPr="009B05FE" w:rsidRDefault="00C829E4" w:rsidP="00C829E4">
      <w:pPr>
        <w:jc w:val="both"/>
        <w:rPr>
          <w:b/>
        </w:rPr>
      </w:pPr>
      <w:r>
        <w:rPr>
          <w:b/>
        </w:rPr>
        <w:t>Dva a půl milionu za běžnou informaci</w:t>
      </w:r>
    </w:p>
    <w:p w:rsidR="00C829E4" w:rsidRPr="009B05FE" w:rsidRDefault="00C829E4" w:rsidP="00C829E4">
      <w:pPr>
        <w:jc w:val="both"/>
        <w:rPr>
          <w:i/>
        </w:rPr>
      </w:pPr>
      <w:r>
        <w:rPr>
          <w:i/>
        </w:rPr>
        <w:t>Rekordních 95</w:t>
      </w:r>
      <w:r w:rsidRPr="009B05FE">
        <w:rPr>
          <w:i/>
        </w:rPr>
        <w:t xml:space="preserve"> nominací </w:t>
      </w:r>
      <w:r>
        <w:rPr>
          <w:i/>
        </w:rPr>
        <w:t>prošlo přísným ověřováním čtrnáctého ročníku soutěže Otevřeno x Zavřeno. Je mezi nimi extrémní požadavek úřadu na úhradu za informace, které jiný úřad sám aktivně zveřejnil, anebo mapová aplikace, sledující z úřední desky, co úřad řeší ve vašem okolí.</w:t>
      </w:r>
    </w:p>
    <w:p w:rsidR="00C829E4" w:rsidRDefault="00C829E4" w:rsidP="00C829E4">
      <w:pPr>
        <w:jc w:val="both"/>
      </w:pPr>
      <w:r>
        <w:t xml:space="preserve">V letošním </w:t>
      </w:r>
      <w:r w:rsidRPr="00FE2AA8">
        <w:rPr>
          <w:b/>
        </w:rPr>
        <w:t>čtrnáctém</w:t>
      </w:r>
      <w:r>
        <w:t xml:space="preserve"> ročníku soutěže Otevřeno x Zavřeno aktivita veřejnosti opět překonala předchozí roky. Dostali jsme </w:t>
      </w:r>
      <w:r w:rsidRPr="00FE2AA8">
        <w:rPr>
          <w:b/>
        </w:rPr>
        <w:t>162 nominací</w:t>
      </w:r>
      <w:r>
        <w:t xml:space="preserve">, zcela nejvyšší počet za historii soutěže. Veřejnost nominovala </w:t>
      </w:r>
      <w:r w:rsidRPr="00FE2AA8">
        <w:rPr>
          <w:b/>
        </w:rPr>
        <w:t>50 pozitivních</w:t>
      </w:r>
      <w:r>
        <w:t xml:space="preserve"> příkladů na cenu Otevřeno a </w:t>
      </w:r>
      <w:r w:rsidRPr="00FE2AA8">
        <w:rPr>
          <w:b/>
        </w:rPr>
        <w:t>112 negativních</w:t>
      </w:r>
      <w:r>
        <w:t xml:space="preserve"> na cenu Zavřeno.</w:t>
      </w:r>
    </w:p>
    <w:p w:rsidR="00C829E4" w:rsidRPr="00515022" w:rsidRDefault="00C829E4" w:rsidP="00C829E4">
      <w:pPr>
        <w:jc w:val="both"/>
        <w:rPr>
          <w:b/>
        </w:rPr>
      </w:pPr>
      <w:r>
        <w:rPr>
          <w:b/>
        </w:rPr>
        <w:t>Úspěšnost nominací je 72%</w:t>
      </w:r>
    </w:p>
    <w:p w:rsidR="00C829E4" w:rsidRDefault="00C829E4" w:rsidP="00C829E4">
      <w:pPr>
        <w:jc w:val="both"/>
      </w:pPr>
      <w:r>
        <w:t xml:space="preserve">Nominace nekompromisně ověřujeme, takže 13% jsme jich sloučili s podobnými (aby se hlasování nerozmělňovalo) a 28% nominací kontrolou vůbec neprošlo. Buď nebyly doložené, anebo jsme zjistili, že skutečnost je jiná, než se tvrdí. </w:t>
      </w:r>
    </w:p>
    <w:p w:rsidR="00C829E4" w:rsidRDefault="00C829E4" w:rsidP="00C829E4">
      <w:pPr>
        <w:jc w:val="both"/>
      </w:pPr>
      <w:r>
        <w:rPr>
          <w:noProof/>
          <w:lang w:eastAsia="cs-CZ"/>
        </w:rPr>
        <w:drawing>
          <wp:anchor distT="0" distB="0" distL="114300" distR="114300" simplePos="0" relativeHeight="251659264" behindDoc="0" locked="0" layoutInCell="1" allowOverlap="1">
            <wp:simplePos x="0" y="0"/>
            <wp:positionH relativeFrom="margin">
              <wp:align>left</wp:align>
            </wp:positionH>
            <wp:positionV relativeFrom="paragraph">
              <wp:posOffset>-3175</wp:posOffset>
            </wp:positionV>
            <wp:extent cx="3848100" cy="3552825"/>
            <wp:effectExtent l="0" t="0" r="0" b="9525"/>
            <wp:wrapSquare wrapText="bothSides"/>
            <wp:docPr id="6" name="Graf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t xml:space="preserve"> Do finál</w:t>
      </w:r>
      <w:bookmarkStart w:id="0" w:name="_GoBack"/>
      <w:bookmarkEnd w:id="0"/>
      <w:r>
        <w:t xml:space="preserve">e pro hlasování poroty i veřejnosti tak postoupilo </w:t>
      </w:r>
      <w:r w:rsidRPr="00A61519">
        <w:rPr>
          <w:b/>
        </w:rPr>
        <w:t>9</w:t>
      </w:r>
      <w:r>
        <w:rPr>
          <w:b/>
        </w:rPr>
        <w:t>5</w:t>
      </w:r>
      <w:r>
        <w:t xml:space="preserve"> nominací, 37 Otevřeno a 58 Zavřeno. </w:t>
      </w:r>
    </w:p>
    <w:p w:rsidR="00C829E4" w:rsidRDefault="00C829E4" w:rsidP="00C829E4">
      <w:pPr>
        <w:jc w:val="both"/>
      </w:pPr>
      <w:r>
        <w:t xml:space="preserve">U ceny </w:t>
      </w:r>
      <w:r w:rsidRPr="006A1BB0">
        <w:rPr>
          <w:b/>
        </w:rPr>
        <w:t>Zavřeno</w:t>
      </w:r>
      <w:r>
        <w:t xml:space="preserve"> tradičně převládají případy porušování práva na informace, kterých bylo 40. Porušování svobody projevu, nejčastěji zneužívání radničních periodik, kritizuje šest případů. 12 nominací reaguje na nedostatečnou účast veřejnosti na rozhodování, kdy vedení radnic například likviduje záznamy ze zastupitelstva nebo se ministerstvu vnitra vyčítá nedostatečné informování o </w:t>
      </w:r>
      <w:r w:rsidRPr="00556D9B">
        <w:t>zásadní reformě policie.</w:t>
      </w:r>
    </w:p>
    <w:p w:rsidR="00C829E4" w:rsidRDefault="00C829E4" w:rsidP="00C829E4">
      <w:pPr>
        <w:jc w:val="both"/>
      </w:pPr>
      <w:r>
        <w:t xml:space="preserve">Na druhé straně o cenu </w:t>
      </w:r>
      <w:r w:rsidRPr="006A1BB0">
        <w:rPr>
          <w:b/>
        </w:rPr>
        <w:t>Otevřeno</w:t>
      </w:r>
      <w:r>
        <w:t xml:space="preserve"> bude letos soutěžit sedmnáct úřadů ukázkově poskytujících informace žadatelům nebo na webu, 13 úřadů za dobré příklady zveřejnění otevřených dat a sedm případů, kdy občané oceňují projevy otevřenosti rozhodování a svobody projevu, jako jsou významné rozsudky soudů, otevírající přístup k informacím, zapojení veřejnosti do rozhodnutí o stavbách, zvýšení objektivity periodika nebo participativní rozpočtování. Ocenění se navrhuje i jednotlivcům – soudkyni za rozsudek, vynucující právo na informace, programátorovi za mapovou aplikaci, v níž lze sledovat informace z úředních desek podle adres, anebo národnímu koordinátorovi za osobní přínos k rozvoji otevřených dat.</w:t>
      </w:r>
    </w:p>
    <w:p w:rsidR="00C829E4" w:rsidRDefault="00C829E4" w:rsidP="00C829E4">
      <w:pPr>
        <w:jc w:val="both"/>
        <w:rPr>
          <w:b/>
        </w:rPr>
      </w:pPr>
      <w:r>
        <w:rPr>
          <w:b/>
        </w:rPr>
        <w:lastRenderedPageBreak/>
        <w:t>Trendy</w:t>
      </w:r>
    </w:p>
    <w:p w:rsidR="00C829E4" w:rsidRDefault="00C829E4" w:rsidP="00C829E4">
      <w:pPr>
        <w:jc w:val="both"/>
      </w:pPr>
      <w:r>
        <w:t xml:space="preserve">Zajímavým trendem letošního ročníku </w:t>
      </w:r>
      <w:r w:rsidRPr="0025582D">
        <w:rPr>
          <w:b/>
        </w:rPr>
        <w:t>je nárůst pozitivních nominací</w:t>
      </w:r>
      <w:r>
        <w:t>.</w:t>
      </w:r>
      <w:r w:rsidRPr="00DF6460">
        <w:t xml:space="preserve"> </w:t>
      </w:r>
      <w:r>
        <w:t>Ukazuje, že stále více úřadů a institucí zapojuje otevřenost do své činnosti jako klíčový prvek, na kterém staví svou úspěšnost a efektivitu.</w:t>
      </w:r>
    </w:p>
    <w:p w:rsidR="00C829E4" w:rsidRDefault="00C829E4" w:rsidP="00C829E4">
      <w:pPr>
        <w:jc w:val="both"/>
      </w:pPr>
      <w:r>
        <w:rPr>
          <w:noProof/>
          <w:lang w:eastAsia="cs-CZ"/>
        </w:rPr>
        <w:drawing>
          <wp:anchor distT="0" distB="0" distL="114300" distR="114300" simplePos="0" relativeHeight="251660288" behindDoc="0" locked="0" layoutInCell="1" allowOverlap="1">
            <wp:simplePos x="0" y="0"/>
            <wp:positionH relativeFrom="column">
              <wp:posOffset>1814830</wp:posOffset>
            </wp:positionH>
            <wp:positionV relativeFrom="paragraph">
              <wp:posOffset>14605</wp:posOffset>
            </wp:positionV>
            <wp:extent cx="3884295" cy="3771900"/>
            <wp:effectExtent l="0" t="0" r="1905" b="0"/>
            <wp:wrapSquare wrapText="bothSides"/>
            <wp:docPr id="2" name="Graf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t xml:space="preserve"> Významně také narostl počet případů, kdy jde o </w:t>
      </w:r>
      <w:r w:rsidRPr="0025582D">
        <w:rPr>
          <w:b/>
        </w:rPr>
        <w:t>data z databází</w:t>
      </w:r>
      <w:r>
        <w:t xml:space="preserve">: Na jedné straně se skoro zdvojnásobila pozitivní kategorie otevřených dat, na druhé se na opačném pólu - mezi případy nesprávného odepírání informací - objevuje více případů, kdy povinné subjekty odepírají přístup k různým databázím, které by bylo možné používat pro aplikace a komerční využití, tedy pravý opak otevřených dat. Například Český hydrometeorologický ústav odmítá poskytnout historická data o počasí, Dopravní podnik Prahy neumí nabídnout on-line  data o aktuální poloze tramvají, ačkoliv je má a v Brně to funguje, anebo </w:t>
      </w:r>
      <w:r w:rsidRPr="00742A5D">
        <w:t>Ústav zdravotn</w:t>
      </w:r>
      <w:r>
        <w:t>ických informací a statistiky odepírá data o </w:t>
      </w:r>
      <w:r w:rsidRPr="00742A5D">
        <w:t>jednotlivých porodnicích</w:t>
      </w:r>
      <w:r>
        <w:t>.</w:t>
      </w:r>
    </w:p>
    <w:p w:rsidR="00C829E4" w:rsidRPr="00515022" w:rsidRDefault="00C829E4" w:rsidP="00C829E4">
      <w:pPr>
        <w:jc w:val="both"/>
        <w:rPr>
          <w:b/>
        </w:rPr>
      </w:pPr>
      <w:r>
        <w:rPr>
          <w:b/>
        </w:rPr>
        <w:t>Systematické otevírání radnic</w:t>
      </w:r>
    </w:p>
    <w:p w:rsidR="00C829E4" w:rsidRDefault="00C829E4" w:rsidP="00C829E4">
      <w:pPr>
        <w:jc w:val="both"/>
      </w:pPr>
      <w:r>
        <w:t xml:space="preserve">Dalším trendem v otevřenosti je, že radnice postupují systematicky. V pozitivní kategorii letos máme více nominací, oceňujících komplexnější a systematické kroky radnic k otevřenosti. Například Žďár nad Sázavou postupuje podle přijatých </w:t>
      </w:r>
      <w:r w:rsidRPr="00E256F6">
        <w:t>Zásad transparentnosti</w:t>
      </w:r>
      <w:r>
        <w:t>.</w:t>
      </w:r>
      <w:r w:rsidRPr="00E256F6">
        <w:t xml:space="preserve"> Velké Březno podle svého plánu Transparentní radnice</w:t>
      </w:r>
      <w:r>
        <w:t xml:space="preserve"> zveřejnilo mimo jiné </w:t>
      </w:r>
      <w:r w:rsidRPr="00E256F6">
        <w:t>mapové vyjádření</w:t>
      </w:r>
      <w:r>
        <w:t xml:space="preserve"> budov</w:t>
      </w:r>
      <w:r w:rsidRPr="00E256F6">
        <w:t xml:space="preserve"> a pozemků v majetku obce. </w:t>
      </w:r>
      <w:r>
        <w:t>Podobnou sérii opatření provedl i Lanškroun. Nominace také oceňuje promyšlený postup, který pro zveřejnění otevřených dat vytvořila a realizuje radnice Prahy 8.</w:t>
      </w:r>
    </w:p>
    <w:p w:rsidR="00C829E4" w:rsidRPr="00260C3C" w:rsidRDefault="00C829E4" w:rsidP="00C829E4">
      <w:pPr>
        <w:jc w:val="both"/>
        <w:rPr>
          <w:b/>
        </w:rPr>
      </w:pPr>
      <w:r>
        <w:rPr>
          <w:b/>
        </w:rPr>
        <w:t xml:space="preserve">Extrémní </w:t>
      </w:r>
      <w:r w:rsidRPr="00515022">
        <w:rPr>
          <w:b/>
        </w:rPr>
        <w:t>obstrukce</w:t>
      </w:r>
      <w:r>
        <w:rPr>
          <w:b/>
        </w:rPr>
        <w:t xml:space="preserve"> a požadavek 2,5 milionu za běžnou informaci</w:t>
      </w:r>
    </w:p>
    <w:p w:rsidR="00C829E4" w:rsidRDefault="00C829E4" w:rsidP="00C829E4">
      <w:pPr>
        <w:jc w:val="both"/>
      </w:pPr>
      <w:r>
        <w:t xml:space="preserve">Obstrukcemi proslulá obec </w:t>
      </w:r>
      <w:proofErr w:type="spellStart"/>
      <w:r>
        <w:t>Zlobice</w:t>
      </w:r>
      <w:proofErr w:type="spellEnd"/>
      <w:r>
        <w:t xml:space="preserve"> 17x dokola protiprávně a v rozporu s nadřízeným orgánem a judikaturou odmítla sdělit údaje o odměňování, což </w:t>
      </w:r>
      <w:r w:rsidRPr="003D1D46">
        <w:t>dosahuje intenzity trestného činu maření úkolu úřední osoby.</w:t>
      </w:r>
    </w:p>
    <w:p w:rsidR="00C829E4" w:rsidRDefault="00C829E4" w:rsidP="00C829E4">
      <w:pPr>
        <w:jc w:val="both"/>
      </w:pPr>
      <w:r>
        <w:lastRenderedPageBreak/>
        <w:t>Asi největší obstrukcí ve čtrnáctém ročníku je však nominovaný požadavek Prahy 1 na úhradu 2,5 milionu Kč z</w:t>
      </w:r>
      <w:r w:rsidRPr="00AC7DFC">
        <w:t>a poskytnutí strojově čitelného seznamu uhrazených faktur za roky 2010-2015, protože prý data nelze z účetního systému automaticky exportovat</w:t>
      </w:r>
      <w:r>
        <w:t>. Paradoxem je, že v kategorii Otevřeno máme hned dvě nominace, kdy prakticky stejná data byla poskytnuta bezplatně.</w:t>
      </w:r>
    </w:p>
    <w:p w:rsidR="00C829E4" w:rsidRDefault="00C829E4" w:rsidP="00C829E4">
      <w:pPr>
        <w:jc w:val="both"/>
      </w:pPr>
    </w:p>
    <w:p w:rsidR="00C829E4" w:rsidRDefault="00C829E4" w:rsidP="00C829E4">
      <w:pPr>
        <w:jc w:val="right"/>
      </w:pPr>
      <w:r>
        <w:t>Oldřich Kužílek</w:t>
      </w:r>
    </w:p>
    <w:p w:rsidR="00C829E4" w:rsidRDefault="00C829E4" w:rsidP="00C829E4">
      <w:pPr>
        <w:jc w:val="right"/>
      </w:pPr>
      <w:r>
        <w:t>Otevřená společnost o.p.s.</w:t>
      </w:r>
    </w:p>
    <w:p w:rsidR="00C829E4" w:rsidRDefault="00C829E4" w:rsidP="00766F0D">
      <w:pPr>
        <w:pStyle w:val="Nadpis2"/>
        <w:spacing w:before="0" w:after="0" w:line="288" w:lineRule="atLeast"/>
        <w:textAlignment w:val="baseline"/>
        <w:rPr>
          <w:rFonts w:ascii="Calibri" w:hAnsi="Calibri"/>
          <w:color w:val="auto"/>
          <w:sz w:val="24"/>
          <w:szCs w:val="24"/>
        </w:rPr>
      </w:pPr>
    </w:p>
    <w:p w:rsidR="00C829E4" w:rsidRDefault="00C829E4" w:rsidP="00C829E4">
      <w:pPr>
        <w:rPr>
          <w:lang w:eastAsia="en-US"/>
        </w:rPr>
      </w:pPr>
    </w:p>
    <w:p w:rsidR="00C829E4" w:rsidRDefault="00C829E4" w:rsidP="00C829E4">
      <w:pPr>
        <w:rPr>
          <w:lang w:eastAsia="en-US"/>
        </w:rPr>
      </w:pPr>
    </w:p>
    <w:p w:rsidR="00C829E4" w:rsidRDefault="00C829E4" w:rsidP="00C829E4">
      <w:pPr>
        <w:rPr>
          <w:lang w:eastAsia="en-US"/>
        </w:rPr>
      </w:pPr>
    </w:p>
    <w:p w:rsidR="00C829E4" w:rsidRDefault="00C829E4" w:rsidP="00C829E4">
      <w:pPr>
        <w:rPr>
          <w:lang w:eastAsia="en-US"/>
        </w:rPr>
      </w:pPr>
    </w:p>
    <w:p w:rsidR="00C829E4" w:rsidRDefault="00C829E4" w:rsidP="00C829E4">
      <w:pPr>
        <w:rPr>
          <w:lang w:eastAsia="en-US"/>
        </w:rPr>
      </w:pPr>
    </w:p>
    <w:p w:rsidR="00C829E4" w:rsidRDefault="00C829E4" w:rsidP="00C829E4">
      <w:pPr>
        <w:rPr>
          <w:lang w:eastAsia="en-US"/>
        </w:rPr>
      </w:pPr>
    </w:p>
    <w:p w:rsidR="00C829E4" w:rsidRDefault="00C829E4" w:rsidP="00C829E4">
      <w:pPr>
        <w:rPr>
          <w:lang w:eastAsia="en-US"/>
        </w:rPr>
      </w:pPr>
    </w:p>
    <w:p w:rsidR="00C829E4" w:rsidRDefault="00C829E4" w:rsidP="00C829E4">
      <w:pPr>
        <w:rPr>
          <w:lang w:eastAsia="en-US"/>
        </w:rPr>
      </w:pPr>
    </w:p>
    <w:p w:rsidR="00C829E4" w:rsidRPr="00C829E4" w:rsidRDefault="00C829E4" w:rsidP="00C829E4">
      <w:pPr>
        <w:rPr>
          <w:lang w:eastAsia="en-US"/>
        </w:rPr>
      </w:pPr>
    </w:p>
    <w:p w:rsidR="00766F0D" w:rsidRPr="00766F0D" w:rsidRDefault="00766F0D" w:rsidP="00766F0D">
      <w:pPr>
        <w:pStyle w:val="Nadpis2"/>
        <w:spacing w:before="0" w:after="0" w:line="288" w:lineRule="atLeast"/>
        <w:textAlignment w:val="baseline"/>
        <w:rPr>
          <w:rFonts w:ascii="Calibri" w:hAnsi="Calibri"/>
          <w:color w:val="auto"/>
          <w:sz w:val="24"/>
          <w:szCs w:val="24"/>
        </w:rPr>
      </w:pPr>
      <w:r w:rsidRPr="00766F0D">
        <w:rPr>
          <w:rFonts w:ascii="Calibri" w:hAnsi="Calibri"/>
          <w:color w:val="auto"/>
          <w:sz w:val="24"/>
          <w:szCs w:val="24"/>
        </w:rPr>
        <w:t xml:space="preserve">Donorem soutěže v roce 2016 je: </w:t>
      </w:r>
    </w:p>
    <w:p w:rsidR="00766F0D" w:rsidRPr="00766F0D" w:rsidRDefault="00766F0D" w:rsidP="00766F0D">
      <w:pPr>
        <w:rPr>
          <w:lang w:eastAsia="en-US"/>
        </w:rPr>
      </w:pPr>
    </w:p>
    <w:p w:rsidR="00766F0D" w:rsidRPr="00766F0D" w:rsidRDefault="00766F0D" w:rsidP="00766F0D">
      <w:pPr>
        <w:spacing w:line="450" w:lineRule="atLeast"/>
        <w:textAlignment w:val="baseline"/>
        <w:rPr>
          <w:rFonts w:ascii="Proxima Nova" w:hAnsi="Proxima Nova" w:cs="Arial"/>
          <w:color w:val="FFFFFF"/>
          <w:sz w:val="30"/>
          <w:szCs w:val="30"/>
        </w:rPr>
      </w:pPr>
      <w:r>
        <w:rPr>
          <w:rFonts w:ascii="Proxima Nova" w:hAnsi="Proxima Nova" w:cs="Arial"/>
          <w:noProof/>
          <w:color w:val="024B41"/>
          <w:sz w:val="30"/>
          <w:szCs w:val="30"/>
          <w:lang w:eastAsia="cs-CZ"/>
        </w:rPr>
        <w:drawing>
          <wp:inline distT="0" distB="0" distL="0" distR="0">
            <wp:extent cx="2571750" cy="962025"/>
            <wp:effectExtent l="19050" t="0" r="0" b="0"/>
            <wp:docPr id="4" name="obrázek 1" descr="http://oz.otevrenaspolecnost.cz/website/var/tmp/image-thumbnails/0/1070/thumb__OzLogo/rsj-logo.jpe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z.otevrenaspolecnost.cz/website/var/tmp/image-thumbnails/0/1070/thumb__OzLogo/rsj-logo.jpeg">
                      <a:hlinkClick r:id="rId9" tgtFrame="&quot;_blank&quot;"/>
                    </pic:cNvPr>
                    <pic:cNvPicPr>
                      <a:picLocks noChangeAspect="1" noChangeArrowheads="1"/>
                    </pic:cNvPicPr>
                  </pic:nvPicPr>
                  <pic:blipFill>
                    <a:blip r:embed="rId10" cstate="print"/>
                    <a:srcRect/>
                    <a:stretch>
                      <a:fillRect/>
                    </a:stretch>
                  </pic:blipFill>
                  <pic:spPr bwMode="auto">
                    <a:xfrm>
                      <a:off x="0" y="0"/>
                      <a:ext cx="2571750" cy="962025"/>
                    </a:xfrm>
                    <a:prstGeom prst="rect">
                      <a:avLst/>
                    </a:prstGeom>
                    <a:noFill/>
                    <a:ln w="9525">
                      <a:noFill/>
                      <a:miter lim="800000"/>
                      <a:headEnd/>
                      <a:tailEnd/>
                    </a:ln>
                  </pic:spPr>
                </pic:pic>
              </a:graphicData>
            </a:graphic>
          </wp:inline>
        </w:drawing>
      </w:r>
    </w:p>
    <w:p w:rsidR="00291887" w:rsidRPr="00766F0D" w:rsidRDefault="00766F0D" w:rsidP="0021000E">
      <w:pPr>
        <w:jc w:val="both"/>
        <w:rPr>
          <w:b/>
          <w:sz w:val="24"/>
          <w:szCs w:val="24"/>
        </w:rPr>
      </w:pPr>
      <w:r w:rsidRPr="00766F0D">
        <w:rPr>
          <w:b/>
          <w:sz w:val="24"/>
          <w:szCs w:val="24"/>
        </w:rPr>
        <w:t>Více informací</w:t>
      </w:r>
      <w:r>
        <w:rPr>
          <w:b/>
          <w:sz w:val="24"/>
          <w:szCs w:val="24"/>
        </w:rPr>
        <w:t xml:space="preserve"> poskytne</w:t>
      </w:r>
      <w:r w:rsidRPr="00766F0D">
        <w:rPr>
          <w:b/>
          <w:sz w:val="24"/>
          <w:szCs w:val="24"/>
        </w:rPr>
        <w:t>:</w:t>
      </w:r>
    </w:p>
    <w:p w:rsidR="00766F0D" w:rsidRDefault="00291887" w:rsidP="0021000E">
      <w:pPr>
        <w:jc w:val="both"/>
        <w:rPr>
          <w:sz w:val="24"/>
          <w:szCs w:val="24"/>
        </w:rPr>
      </w:pPr>
      <w:r>
        <w:rPr>
          <w:sz w:val="24"/>
          <w:szCs w:val="24"/>
        </w:rPr>
        <w:t xml:space="preserve">Adam </w:t>
      </w:r>
      <w:proofErr w:type="spellStart"/>
      <w:r>
        <w:rPr>
          <w:sz w:val="24"/>
          <w:szCs w:val="24"/>
        </w:rPr>
        <w:t>Rut</w:t>
      </w:r>
      <w:proofErr w:type="spellEnd"/>
      <w:r>
        <w:rPr>
          <w:sz w:val="24"/>
          <w:szCs w:val="24"/>
        </w:rPr>
        <w:t xml:space="preserve">, </w:t>
      </w:r>
      <w:r w:rsidR="00766F0D">
        <w:rPr>
          <w:sz w:val="24"/>
          <w:szCs w:val="24"/>
        </w:rPr>
        <w:t>manažer soutěže</w:t>
      </w:r>
    </w:p>
    <w:p w:rsidR="00291887" w:rsidRPr="00291887" w:rsidRDefault="00797B4F" w:rsidP="0021000E">
      <w:pPr>
        <w:jc w:val="both"/>
        <w:rPr>
          <w:sz w:val="24"/>
          <w:szCs w:val="24"/>
        </w:rPr>
      </w:pPr>
      <w:hyperlink r:id="rId11" w:history="1">
        <w:r w:rsidR="00291887" w:rsidRPr="001A61C2">
          <w:rPr>
            <w:rStyle w:val="Hypertextovodkaz"/>
            <w:sz w:val="24"/>
            <w:szCs w:val="24"/>
          </w:rPr>
          <w:t>adam.rut@osops.cz</w:t>
        </w:r>
      </w:hyperlink>
      <w:r w:rsidR="00766F0D">
        <w:rPr>
          <w:sz w:val="24"/>
          <w:szCs w:val="24"/>
        </w:rPr>
        <w:t>, +</w:t>
      </w:r>
      <w:r w:rsidR="00291887">
        <w:rPr>
          <w:sz w:val="24"/>
          <w:szCs w:val="24"/>
        </w:rPr>
        <w:t>420 773 258 112</w:t>
      </w:r>
    </w:p>
    <w:sectPr w:rsidR="00291887" w:rsidRPr="00291887" w:rsidSect="00C7223F">
      <w:headerReference w:type="even" r:id="rId12"/>
      <w:headerReference w:type="default" r:id="rId13"/>
      <w:footerReference w:type="even" r:id="rId14"/>
      <w:footerReference w:type="default" r:id="rId15"/>
      <w:headerReference w:type="first" r:id="rId16"/>
      <w:footerReference w:type="first" r:id="rId17"/>
      <w:pgSz w:w="11906" w:h="16838" w:code="9"/>
      <w:pgMar w:top="2268" w:right="1134" w:bottom="1985"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058F" w:rsidRDefault="00F3058F" w:rsidP="00C7223F">
      <w:pPr>
        <w:spacing w:after="0" w:line="240" w:lineRule="auto"/>
      </w:pPr>
      <w:r>
        <w:separator/>
      </w:r>
    </w:p>
  </w:endnote>
  <w:endnote w:type="continuationSeparator" w:id="0">
    <w:p w:rsidR="00F3058F" w:rsidRDefault="00F3058F" w:rsidP="00C722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Proxima Nova">
    <w:altName w:val="Times New Roman"/>
    <w:charset w:val="EE"/>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963" w:rsidRDefault="00FB3963">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963" w:rsidRDefault="00FB3963">
    <w:pPr>
      <w:pStyle w:val="Zpa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963" w:rsidRDefault="00FB3963">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058F" w:rsidRDefault="00F3058F" w:rsidP="00C7223F">
      <w:pPr>
        <w:spacing w:after="0" w:line="240" w:lineRule="auto"/>
      </w:pPr>
      <w:r>
        <w:separator/>
      </w:r>
    </w:p>
  </w:footnote>
  <w:footnote w:type="continuationSeparator" w:id="0">
    <w:p w:rsidR="00F3058F" w:rsidRDefault="00F3058F" w:rsidP="00C7223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963" w:rsidRDefault="00FB3963">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23F" w:rsidRDefault="00C7223F">
    <w:pPr>
      <w:pStyle w:val="Zhlav"/>
      <w:rPr>
        <w:noProof/>
        <w:lang w:eastAsia="cs-CZ"/>
      </w:rPr>
    </w:pPr>
    <w:r>
      <w:rPr>
        <w:noProof/>
        <w:lang w:eastAsia="cs-CZ"/>
      </w:rPr>
      <w:drawing>
        <wp:anchor distT="0" distB="0" distL="114300" distR="114300" simplePos="0" relativeHeight="251657216" behindDoc="1" locked="0" layoutInCell="1" allowOverlap="1">
          <wp:simplePos x="0" y="0"/>
          <wp:positionH relativeFrom="column">
            <wp:posOffset>-720090</wp:posOffset>
          </wp:positionH>
          <wp:positionV relativeFrom="paragraph">
            <wp:posOffset>-450215</wp:posOffset>
          </wp:positionV>
          <wp:extent cx="7559675" cy="10692765"/>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01.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59675" cy="10692765"/>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963" w:rsidRDefault="00FB3963">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E2A57"/>
    <w:multiLevelType w:val="hybridMultilevel"/>
    <w:tmpl w:val="051C83A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ldřich Kužílek">
    <w15:presenceInfo w15:providerId="Windows Live" w15:userId="5709dcb66db2f40d"/>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attachedTemplate r:id="rId1"/>
  <w:defaultTabStop w:val="708"/>
  <w:hyphenationZone w:val="425"/>
  <w:characterSpacingControl w:val="doNotCompress"/>
  <w:hdrShapeDefaults>
    <o:shapedefaults v:ext="edit" spidmax="38914"/>
  </w:hdrShapeDefaults>
  <w:footnotePr>
    <w:footnote w:id="-1"/>
    <w:footnote w:id="0"/>
  </w:footnotePr>
  <w:endnotePr>
    <w:endnote w:id="-1"/>
    <w:endnote w:id="0"/>
  </w:endnotePr>
  <w:compat/>
  <w:rsids>
    <w:rsidRoot w:val="002A5C55"/>
    <w:rsid w:val="000022BD"/>
    <w:rsid w:val="000030D1"/>
    <w:rsid w:val="00006DA0"/>
    <w:rsid w:val="000072EF"/>
    <w:rsid w:val="00007AB7"/>
    <w:rsid w:val="00011FB7"/>
    <w:rsid w:val="00017A45"/>
    <w:rsid w:val="00020F77"/>
    <w:rsid w:val="00021204"/>
    <w:rsid w:val="00021657"/>
    <w:rsid w:val="00022CE1"/>
    <w:rsid w:val="00023D27"/>
    <w:rsid w:val="000242DA"/>
    <w:rsid w:val="00025465"/>
    <w:rsid w:val="0002564B"/>
    <w:rsid w:val="00025C89"/>
    <w:rsid w:val="00030761"/>
    <w:rsid w:val="000332B1"/>
    <w:rsid w:val="00033605"/>
    <w:rsid w:val="00037E69"/>
    <w:rsid w:val="00037F83"/>
    <w:rsid w:val="000440F0"/>
    <w:rsid w:val="000445C4"/>
    <w:rsid w:val="000461A7"/>
    <w:rsid w:val="00046F23"/>
    <w:rsid w:val="00047435"/>
    <w:rsid w:val="000518E8"/>
    <w:rsid w:val="00053F21"/>
    <w:rsid w:val="0005503B"/>
    <w:rsid w:val="0005677D"/>
    <w:rsid w:val="0006166A"/>
    <w:rsid w:val="00062210"/>
    <w:rsid w:val="0006228D"/>
    <w:rsid w:val="00064A33"/>
    <w:rsid w:val="0007369E"/>
    <w:rsid w:val="000775F9"/>
    <w:rsid w:val="00080F91"/>
    <w:rsid w:val="00082475"/>
    <w:rsid w:val="00087639"/>
    <w:rsid w:val="000940B2"/>
    <w:rsid w:val="00094119"/>
    <w:rsid w:val="000941B5"/>
    <w:rsid w:val="00096DC1"/>
    <w:rsid w:val="00097652"/>
    <w:rsid w:val="000A1E65"/>
    <w:rsid w:val="000A1EB7"/>
    <w:rsid w:val="000A2FC4"/>
    <w:rsid w:val="000A39E3"/>
    <w:rsid w:val="000B05B5"/>
    <w:rsid w:val="000B10B7"/>
    <w:rsid w:val="000B1564"/>
    <w:rsid w:val="000B432F"/>
    <w:rsid w:val="000B4E4C"/>
    <w:rsid w:val="000B59E2"/>
    <w:rsid w:val="000B60DF"/>
    <w:rsid w:val="000C25C2"/>
    <w:rsid w:val="000C265E"/>
    <w:rsid w:val="000C3547"/>
    <w:rsid w:val="000C3A11"/>
    <w:rsid w:val="000C5808"/>
    <w:rsid w:val="000C6AA6"/>
    <w:rsid w:val="000D1E09"/>
    <w:rsid w:val="000E1F45"/>
    <w:rsid w:val="000E2ED1"/>
    <w:rsid w:val="000E3917"/>
    <w:rsid w:val="000E4847"/>
    <w:rsid w:val="000E62DD"/>
    <w:rsid w:val="000E7DB8"/>
    <w:rsid w:val="000F0A58"/>
    <w:rsid w:val="000F2CDC"/>
    <w:rsid w:val="000F3F3A"/>
    <w:rsid w:val="000F575B"/>
    <w:rsid w:val="000F64E8"/>
    <w:rsid w:val="000F75F8"/>
    <w:rsid w:val="00101814"/>
    <w:rsid w:val="00101BAB"/>
    <w:rsid w:val="00102F9E"/>
    <w:rsid w:val="001040F5"/>
    <w:rsid w:val="0010431D"/>
    <w:rsid w:val="00104D9B"/>
    <w:rsid w:val="001051F3"/>
    <w:rsid w:val="00106B98"/>
    <w:rsid w:val="001110DD"/>
    <w:rsid w:val="001116B8"/>
    <w:rsid w:val="001124D6"/>
    <w:rsid w:val="00112CB0"/>
    <w:rsid w:val="00115D3B"/>
    <w:rsid w:val="001162D0"/>
    <w:rsid w:val="0012176E"/>
    <w:rsid w:val="001226C0"/>
    <w:rsid w:val="001263EA"/>
    <w:rsid w:val="001305B8"/>
    <w:rsid w:val="00130760"/>
    <w:rsid w:val="0013118E"/>
    <w:rsid w:val="00131946"/>
    <w:rsid w:val="00132569"/>
    <w:rsid w:val="00140A63"/>
    <w:rsid w:val="00142F98"/>
    <w:rsid w:val="00153055"/>
    <w:rsid w:val="00153279"/>
    <w:rsid w:val="00154837"/>
    <w:rsid w:val="001548C0"/>
    <w:rsid w:val="00160BAA"/>
    <w:rsid w:val="00162A75"/>
    <w:rsid w:val="00167EDE"/>
    <w:rsid w:val="00172496"/>
    <w:rsid w:val="001744B8"/>
    <w:rsid w:val="00177EBA"/>
    <w:rsid w:val="00180DDB"/>
    <w:rsid w:val="00182533"/>
    <w:rsid w:val="00182EEE"/>
    <w:rsid w:val="00183888"/>
    <w:rsid w:val="00183A0E"/>
    <w:rsid w:val="00183A5E"/>
    <w:rsid w:val="00186263"/>
    <w:rsid w:val="0018729A"/>
    <w:rsid w:val="00187BE0"/>
    <w:rsid w:val="00191EEC"/>
    <w:rsid w:val="001969D6"/>
    <w:rsid w:val="0019726A"/>
    <w:rsid w:val="00197776"/>
    <w:rsid w:val="001A2F2F"/>
    <w:rsid w:val="001A3377"/>
    <w:rsid w:val="001A3E30"/>
    <w:rsid w:val="001A7EC1"/>
    <w:rsid w:val="001B02AB"/>
    <w:rsid w:val="001B572B"/>
    <w:rsid w:val="001C23E8"/>
    <w:rsid w:val="001C3556"/>
    <w:rsid w:val="001C3B59"/>
    <w:rsid w:val="001C633F"/>
    <w:rsid w:val="001C6EFA"/>
    <w:rsid w:val="001D053C"/>
    <w:rsid w:val="001D1CE1"/>
    <w:rsid w:val="001D5B90"/>
    <w:rsid w:val="001E085E"/>
    <w:rsid w:val="001E640B"/>
    <w:rsid w:val="001E6B3B"/>
    <w:rsid w:val="001E6F6C"/>
    <w:rsid w:val="001E6F7B"/>
    <w:rsid w:val="001F07DA"/>
    <w:rsid w:val="001F28B4"/>
    <w:rsid w:val="001F50E8"/>
    <w:rsid w:val="001F5395"/>
    <w:rsid w:val="00201207"/>
    <w:rsid w:val="00202211"/>
    <w:rsid w:val="0020401E"/>
    <w:rsid w:val="0021000E"/>
    <w:rsid w:val="0021085F"/>
    <w:rsid w:val="00212D03"/>
    <w:rsid w:val="00213BE3"/>
    <w:rsid w:val="002147CC"/>
    <w:rsid w:val="00214B80"/>
    <w:rsid w:val="00214B91"/>
    <w:rsid w:val="0021515B"/>
    <w:rsid w:val="00215F38"/>
    <w:rsid w:val="00220583"/>
    <w:rsid w:val="00221311"/>
    <w:rsid w:val="00221905"/>
    <w:rsid w:val="00221B04"/>
    <w:rsid w:val="0022512F"/>
    <w:rsid w:val="0022544F"/>
    <w:rsid w:val="0023140B"/>
    <w:rsid w:val="00233993"/>
    <w:rsid w:val="00234AC6"/>
    <w:rsid w:val="002371E5"/>
    <w:rsid w:val="00243C5C"/>
    <w:rsid w:val="0026003D"/>
    <w:rsid w:val="002604F8"/>
    <w:rsid w:val="002608BE"/>
    <w:rsid w:val="00263D26"/>
    <w:rsid w:val="00264E46"/>
    <w:rsid w:val="002678E0"/>
    <w:rsid w:val="00270397"/>
    <w:rsid w:val="00271AEB"/>
    <w:rsid w:val="002732F4"/>
    <w:rsid w:val="00273D0E"/>
    <w:rsid w:val="002746C6"/>
    <w:rsid w:val="00281A27"/>
    <w:rsid w:val="00285523"/>
    <w:rsid w:val="002863E5"/>
    <w:rsid w:val="00287356"/>
    <w:rsid w:val="0029050D"/>
    <w:rsid w:val="002908EE"/>
    <w:rsid w:val="00291887"/>
    <w:rsid w:val="00293861"/>
    <w:rsid w:val="00294EE9"/>
    <w:rsid w:val="00295AC0"/>
    <w:rsid w:val="002A0260"/>
    <w:rsid w:val="002A1860"/>
    <w:rsid w:val="002A3F10"/>
    <w:rsid w:val="002A5C55"/>
    <w:rsid w:val="002A731E"/>
    <w:rsid w:val="002A73C6"/>
    <w:rsid w:val="002B05CE"/>
    <w:rsid w:val="002B26C3"/>
    <w:rsid w:val="002B41FF"/>
    <w:rsid w:val="002B4564"/>
    <w:rsid w:val="002B6402"/>
    <w:rsid w:val="002B72E9"/>
    <w:rsid w:val="002B7A40"/>
    <w:rsid w:val="002C0492"/>
    <w:rsid w:val="002C2F19"/>
    <w:rsid w:val="002C3F31"/>
    <w:rsid w:val="002C7FA3"/>
    <w:rsid w:val="002D07EE"/>
    <w:rsid w:val="002D0DBB"/>
    <w:rsid w:val="002D31BA"/>
    <w:rsid w:val="002D4E06"/>
    <w:rsid w:val="002D7D34"/>
    <w:rsid w:val="002E3601"/>
    <w:rsid w:val="002E523D"/>
    <w:rsid w:val="002E536A"/>
    <w:rsid w:val="002E60FB"/>
    <w:rsid w:val="002E688B"/>
    <w:rsid w:val="002F00C3"/>
    <w:rsid w:val="002F4394"/>
    <w:rsid w:val="002F6FE4"/>
    <w:rsid w:val="003002BE"/>
    <w:rsid w:val="00301627"/>
    <w:rsid w:val="00302387"/>
    <w:rsid w:val="00302539"/>
    <w:rsid w:val="003065F3"/>
    <w:rsid w:val="003104B4"/>
    <w:rsid w:val="00315318"/>
    <w:rsid w:val="00317A61"/>
    <w:rsid w:val="00317A6D"/>
    <w:rsid w:val="00317C39"/>
    <w:rsid w:val="00321D2F"/>
    <w:rsid w:val="0032416C"/>
    <w:rsid w:val="003243D5"/>
    <w:rsid w:val="003255E2"/>
    <w:rsid w:val="00333E13"/>
    <w:rsid w:val="00333E41"/>
    <w:rsid w:val="00335047"/>
    <w:rsid w:val="003366E3"/>
    <w:rsid w:val="00337662"/>
    <w:rsid w:val="00337C3D"/>
    <w:rsid w:val="00340B3F"/>
    <w:rsid w:val="00346275"/>
    <w:rsid w:val="003477BA"/>
    <w:rsid w:val="00350A79"/>
    <w:rsid w:val="00351444"/>
    <w:rsid w:val="00353CD2"/>
    <w:rsid w:val="003632DF"/>
    <w:rsid w:val="003643CD"/>
    <w:rsid w:val="00365054"/>
    <w:rsid w:val="00366A03"/>
    <w:rsid w:val="00370461"/>
    <w:rsid w:val="00372D79"/>
    <w:rsid w:val="00373ADF"/>
    <w:rsid w:val="00375FCC"/>
    <w:rsid w:val="00377BF3"/>
    <w:rsid w:val="00377C3E"/>
    <w:rsid w:val="00380BA1"/>
    <w:rsid w:val="0039188D"/>
    <w:rsid w:val="00392EF8"/>
    <w:rsid w:val="00396AEB"/>
    <w:rsid w:val="003A26F5"/>
    <w:rsid w:val="003A3CB9"/>
    <w:rsid w:val="003A408F"/>
    <w:rsid w:val="003A5B68"/>
    <w:rsid w:val="003B2520"/>
    <w:rsid w:val="003B2EA7"/>
    <w:rsid w:val="003B35CA"/>
    <w:rsid w:val="003B54E1"/>
    <w:rsid w:val="003B63B3"/>
    <w:rsid w:val="003C23C2"/>
    <w:rsid w:val="003C3D6B"/>
    <w:rsid w:val="003C4CB5"/>
    <w:rsid w:val="003C5146"/>
    <w:rsid w:val="003C5758"/>
    <w:rsid w:val="003C6D4E"/>
    <w:rsid w:val="003C72A6"/>
    <w:rsid w:val="003D06C8"/>
    <w:rsid w:val="003D0CA4"/>
    <w:rsid w:val="003D2641"/>
    <w:rsid w:val="003D3C7C"/>
    <w:rsid w:val="003D3FC5"/>
    <w:rsid w:val="003D65DE"/>
    <w:rsid w:val="003D7341"/>
    <w:rsid w:val="003E2567"/>
    <w:rsid w:val="003E2FF2"/>
    <w:rsid w:val="003E358A"/>
    <w:rsid w:val="003E46ED"/>
    <w:rsid w:val="003E69FB"/>
    <w:rsid w:val="003E6B5B"/>
    <w:rsid w:val="003F0B25"/>
    <w:rsid w:val="003F4931"/>
    <w:rsid w:val="0040154C"/>
    <w:rsid w:val="00404869"/>
    <w:rsid w:val="004065A1"/>
    <w:rsid w:val="0041403C"/>
    <w:rsid w:val="0041661D"/>
    <w:rsid w:val="00417660"/>
    <w:rsid w:val="00421308"/>
    <w:rsid w:val="004213AA"/>
    <w:rsid w:val="00422364"/>
    <w:rsid w:val="004233D7"/>
    <w:rsid w:val="004238D8"/>
    <w:rsid w:val="00426751"/>
    <w:rsid w:val="0043020F"/>
    <w:rsid w:val="00430478"/>
    <w:rsid w:val="00430BB2"/>
    <w:rsid w:val="00432F2B"/>
    <w:rsid w:val="0043458C"/>
    <w:rsid w:val="0043786A"/>
    <w:rsid w:val="00442547"/>
    <w:rsid w:val="00443BD6"/>
    <w:rsid w:val="0045169B"/>
    <w:rsid w:val="00452D3C"/>
    <w:rsid w:val="00453CB0"/>
    <w:rsid w:val="00460F95"/>
    <w:rsid w:val="00463281"/>
    <w:rsid w:val="00470513"/>
    <w:rsid w:val="00472712"/>
    <w:rsid w:val="004759D6"/>
    <w:rsid w:val="0047760A"/>
    <w:rsid w:val="00477BEF"/>
    <w:rsid w:val="00481719"/>
    <w:rsid w:val="0048171B"/>
    <w:rsid w:val="00482242"/>
    <w:rsid w:val="004824E4"/>
    <w:rsid w:val="00482788"/>
    <w:rsid w:val="00482994"/>
    <w:rsid w:val="00482CB1"/>
    <w:rsid w:val="00482DE4"/>
    <w:rsid w:val="004904AB"/>
    <w:rsid w:val="00493141"/>
    <w:rsid w:val="00493D7A"/>
    <w:rsid w:val="0049467B"/>
    <w:rsid w:val="00495420"/>
    <w:rsid w:val="00496CA2"/>
    <w:rsid w:val="004A1D1A"/>
    <w:rsid w:val="004A1E8C"/>
    <w:rsid w:val="004A50A4"/>
    <w:rsid w:val="004A70E2"/>
    <w:rsid w:val="004B0E0C"/>
    <w:rsid w:val="004B14CB"/>
    <w:rsid w:val="004B1814"/>
    <w:rsid w:val="004B5E7F"/>
    <w:rsid w:val="004C1962"/>
    <w:rsid w:val="004C1A5D"/>
    <w:rsid w:val="004C41EA"/>
    <w:rsid w:val="004D0227"/>
    <w:rsid w:val="004D1C04"/>
    <w:rsid w:val="004D3EB6"/>
    <w:rsid w:val="004D5756"/>
    <w:rsid w:val="004D5766"/>
    <w:rsid w:val="004D733B"/>
    <w:rsid w:val="004E56F3"/>
    <w:rsid w:val="004E78F8"/>
    <w:rsid w:val="004F2185"/>
    <w:rsid w:val="004F3CC9"/>
    <w:rsid w:val="004F40B5"/>
    <w:rsid w:val="004F5F69"/>
    <w:rsid w:val="004F7156"/>
    <w:rsid w:val="004F75F1"/>
    <w:rsid w:val="004F7A33"/>
    <w:rsid w:val="005010F4"/>
    <w:rsid w:val="00501CA4"/>
    <w:rsid w:val="00502CE6"/>
    <w:rsid w:val="00503767"/>
    <w:rsid w:val="00503FC7"/>
    <w:rsid w:val="00506199"/>
    <w:rsid w:val="005132A1"/>
    <w:rsid w:val="00514B74"/>
    <w:rsid w:val="005175B4"/>
    <w:rsid w:val="0052070E"/>
    <w:rsid w:val="005225E3"/>
    <w:rsid w:val="00523535"/>
    <w:rsid w:val="00524373"/>
    <w:rsid w:val="00525EB1"/>
    <w:rsid w:val="005265A6"/>
    <w:rsid w:val="00526DDE"/>
    <w:rsid w:val="00527423"/>
    <w:rsid w:val="005305D3"/>
    <w:rsid w:val="00530EB8"/>
    <w:rsid w:val="00534839"/>
    <w:rsid w:val="00542625"/>
    <w:rsid w:val="00543D8E"/>
    <w:rsid w:val="00544316"/>
    <w:rsid w:val="00545AAC"/>
    <w:rsid w:val="00553050"/>
    <w:rsid w:val="00553708"/>
    <w:rsid w:val="0055399C"/>
    <w:rsid w:val="00560A15"/>
    <w:rsid w:val="00561E86"/>
    <w:rsid w:val="00562CAA"/>
    <w:rsid w:val="00564DBE"/>
    <w:rsid w:val="00565D65"/>
    <w:rsid w:val="0057195C"/>
    <w:rsid w:val="005726B5"/>
    <w:rsid w:val="00573508"/>
    <w:rsid w:val="0057752B"/>
    <w:rsid w:val="0058715B"/>
    <w:rsid w:val="005925BF"/>
    <w:rsid w:val="005928AF"/>
    <w:rsid w:val="00593000"/>
    <w:rsid w:val="00594575"/>
    <w:rsid w:val="0059572C"/>
    <w:rsid w:val="005A3086"/>
    <w:rsid w:val="005B1C4C"/>
    <w:rsid w:val="005B2660"/>
    <w:rsid w:val="005B2B81"/>
    <w:rsid w:val="005B4EC3"/>
    <w:rsid w:val="005B69AD"/>
    <w:rsid w:val="005C1841"/>
    <w:rsid w:val="005C548E"/>
    <w:rsid w:val="005C6AFD"/>
    <w:rsid w:val="005D0A49"/>
    <w:rsid w:val="005D2255"/>
    <w:rsid w:val="005D5147"/>
    <w:rsid w:val="005D7E0C"/>
    <w:rsid w:val="005E0C49"/>
    <w:rsid w:val="005E2004"/>
    <w:rsid w:val="005F1341"/>
    <w:rsid w:val="005F17ED"/>
    <w:rsid w:val="005F3179"/>
    <w:rsid w:val="005F47A4"/>
    <w:rsid w:val="005F538B"/>
    <w:rsid w:val="005F7B7D"/>
    <w:rsid w:val="0060318A"/>
    <w:rsid w:val="00604159"/>
    <w:rsid w:val="00611DBA"/>
    <w:rsid w:val="00621A73"/>
    <w:rsid w:val="00622E01"/>
    <w:rsid w:val="006278FD"/>
    <w:rsid w:val="00627B01"/>
    <w:rsid w:val="00630DF1"/>
    <w:rsid w:val="00636CE6"/>
    <w:rsid w:val="006370E8"/>
    <w:rsid w:val="0063745D"/>
    <w:rsid w:val="00640964"/>
    <w:rsid w:val="00643F1C"/>
    <w:rsid w:val="00647611"/>
    <w:rsid w:val="0065100A"/>
    <w:rsid w:val="0065474C"/>
    <w:rsid w:val="00655DC6"/>
    <w:rsid w:val="00657C4A"/>
    <w:rsid w:val="00660107"/>
    <w:rsid w:val="00660294"/>
    <w:rsid w:val="00664AC0"/>
    <w:rsid w:val="00665070"/>
    <w:rsid w:val="00665BEF"/>
    <w:rsid w:val="0067206A"/>
    <w:rsid w:val="00676E3C"/>
    <w:rsid w:val="0068124E"/>
    <w:rsid w:val="00682E58"/>
    <w:rsid w:val="0068374B"/>
    <w:rsid w:val="00685B77"/>
    <w:rsid w:val="00685DC0"/>
    <w:rsid w:val="006876F7"/>
    <w:rsid w:val="00690DE1"/>
    <w:rsid w:val="006929C2"/>
    <w:rsid w:val="00692B9D"/>
    <w:rsid w:val="006937CA"/>
    <w:rsid w:val="00693C01"/>
    <w:rsid w:val="00694462"/>
    <w:rsid w:val="00697B37"/>
    <w:rsid w:val="006A2031"/>
    <w:rsid w:val="006A6092"/>
    <w:rsid w:val="006A7587"/>
    <w:rsid w:val="006B17CC"/>
    <w:rsid w:val="006B2DB0"/>
    <w:rsid w:val="006B342E"/>
    <w:rsid w:val="006C526D"/>
    <w:rsid w:val="006C638C"/>
    <w:rsid w:val="006C72F7"/>
    <w:rsid w:val="006D29E9"/>
    <w:rsid w:val="006D2D80"/>
    <w:rsid w:val="006E1B4D"/>
    <w:rsid w:val="006E60AA"/>
    <w:rsid w:val="0070466C"/>
    <w:rsid w:val="00705804"/>
    <w:rsid w:val="007066EA"/>
    <w:rsid w:val="00712283"/>
    <w:rsid w:val="00712A97"/>
    <w:rsid w:val="007132BE"/>
    <w:rsid w:val="00720063"/>
    <w:rsid w:val="00721A00"/>
    <w:rsid w:val="00726759"/>
    <w:rsid w:val="007338AB"/>
    <w:rsid w:val="00741C04"/>
    <w:rsid w:val="0074225F"/>
    <w:rsid w:val="00742B85"/>
    <w:rsid w:val="0074337E"/>
    <w:rsid w:val="00746C5A"/>
    <w:rsid w:val="00751C46"/>
    <w:rsid w:val="00752534"/>
    <w:rsid w:val="0075496D"/>
    <w:rsid w:val="00756056"/>
    <w:rsid w:val="00756836"/>
    <w:rsid w:val="00760F9E"/>
    <w:rsid w:val="00763197"/>
    <w:rsid w:val="00765B7B"/>
    <w:rsid w:val="00766F0D"/>
    <w:rsid w:val="00767B1C"/>
    <w:rsid w:val="0077064B"/>
    <w:rsid w:val="00774136"/>
    <w:rsid w:val="007742DB"/>
    <w:rsid w:val="00776216"/>
    <w:rsid w:val="007779E1"/>
    <w:rsid w:val="00777F23"/>
    <w:rsid w:val="00784036"/>
    <w:rsid w:val="00785045"/>
    <w:rsid w:val="00790D8B"/>
    <w:rsid w:val="00792338"/>
    <w:rsid w:val="00793C0E"/>
    <w:rsid w:val="00795EC9"/>
    <w:rsid w:val="00796D0C"/>
    <w:rsid w:val="00797B4F"/>
    <w:rsid w:val="007A4488"/>
    <w:rsid w:val="007A4B64"/>
    <w:rsid w:val="007B07C4"/>
    <w:rsid w:val="007B52FE"/>
    <w:rsid w:val="007B5BE5"/>
    <w:rsid w:val="007B6F09"/>
    <w:rsid w:val="007B733E"/>
    <w:rsid w:val="007B77A0"/>
    <w:rsid w:val="007C080E"/>
    <w:rsid w:val="007C0BDE"/>
    <w:rsid w:val="007C2D33"/>
    <w:rsid w:val="007C54D8"/>
    <w:rsid w:val="007D020A"/>
    <w:rsid w:val="007D0ED1"/>
    <w:rsid w:val="007E06B1"/>
    <w:rsid w:val="007E177B"/>
    <w:rsid w:val="007E3447"/>
    <w:rsid w:val="007E4E08"/>
    <w:rsid w:val="007E5EC2"/>
    <w:rsid w:val="007F00CE"/>
    <w:rsid w:val="007F038F"/>
    <w:rsid w:val="007F19E2"/>
    <w:rsid w:val="007F2AB0"/>
    <w:rsid w:val="007F59BE"/>
    <w:rsid w:val="00801932"/>
    <w:rsid w:val="00801FEC"/>
    <w:rsid w:val="0080337B"/>
    <w:rsid w:val="00803622"/>
    <w:rsid w:val="00803D6C"/>
    <w:rsid w:val="0080479C"/>
    <w:rsid w:val="00805A6F"/>
    <w:rsid w:val="0080775E"/>
    <w:rsid w:val="00810F40"/>
    <w:rsid w:val="008119AF"/>
    <w:rsid w:val="00814A17"/>
    <w:rsid w:val="00814BE1"/>
    <w:rsid w:val="00817612"/>
    <w:rsid w:val="00821E87"/>
    <w:rsid w:val="00822468"/>
    <w:rsid w:val="00822D25"/>
    <w:rsid w:val="00823CD4"/>
    <w:rsid w:val="00824877"/>
    <w:rsid w:val="00826737"/>
    <w:rsid w:val="00830C31"/>
    <w:rsid w:val="00831C1D"/>
    <w:rsid w:val="008337F9"/>
    <w:rsid w:val="00834DA4"/>
    <w:rsid w:val="0083515C"/>
    <w:rsid w:val="00836371"/>
    <w:rsid w:val="008416F6"/>
    <w:rsid w:val="00842EB8"/>
    <w:rsid w:val="008446BF"/>
    <w:rsid w:val="008452B6"/>
    <w:rsid w:val="0085087B"/>
    <w:rsid w:val="00850E3F"/>
    <w:rsid w:val="008601B4"/>
    <w:rsid w:val="00861954"/>
    <w:rsid w:val="0086255E"/>
    <w:rsid w:val="00862ED6"/>
    <w:rsid w:val="008639D5"/>
    <w:rsid w:val="00864061"/>
    <w:rsid w:val="00865EF6"/>
    <w:rsid w:val="00867B2D"/>
    <w:rsid w:val="00867DC7"/>
    <w:rsid w:val="0087445D"/>
    <w:rsid w:val="008746ED"/>
    <w:rsid w:val="00876560"/>
    <w:rsid w:val="0088106D"/>
    <w:rsid w:val="0088466C"/>
    <w:rsid w:val="008873BD"/>
    <w:rsid w:val="00892AEC"/>
    <w:rsid w:val="00895521"/>
    <w:rsid w:val="008B48E1"/>
    <w:rsid w:val="008B5149"/>
    <w:rsid w:val="008B67D4"/>
    <w:rsid w:val="008B6BD7"/>
    <w:rsid w:val="008C0E4C"/>
    <w:rsid w:val="008C1F6B"/>
    <w:rsid w:val="008C493D"/>
    <w:rsid w:val="008C5912"/>
    <w:rsid w:val="008C7018"/>
    <w:rsid w:val="008D016A"/>
    <w:rsid w:val="008D28B6"/>
    <w:rsid w:val="008D2FFA"/>
    <w:rsid w:val="008D3F07"/>
    <w:rsid w:val="008D6A72"/>
    <w:rsid w:val="008D6C76"/>
    <w:rsid w:val="008D6DD1"/>
    <w:rsid w:val="008D77E3"/>
    <w:rsid w:val="008E076D"/>
    <w:rsid w:val="008E2C46"/>
    <w:rsid w:val="008E51AC"/>
    <w:rsid w:val="008E53BD"/>
    <w:rsid w:val="008E5F27"/>
    <w:rsid w:val="008E6C7F"/>
    <w:rsid w:val="008E6EE9"/>
    <w:rsid w:val="008E7025"/>
    <w:rsid w:val="008F08CE"/>
    <w:rsid w:val="008F288B"/>
    <w:rsid w:val="008F3705"/>
    <w:rsid w:val="008F400D"/>
    <w:rsid w:val="008F5BDB"/>
    <w:rsid w:val="008F600A"/>
    <w:rsid w:val="008F6A16"/>
    <w:rsid w:val="00901812"/>
    <w:rsid w:val="00902819"/>
    <w:rsid w:val="00906B9B"/>
    <w:rsid w:val="00907038"/>
    <w:rsid w:val="009072F5"/>
    <w:rsid w:val="0090732C"/>
    <w:rsid w:val="009107B1"/>
    <w:rsid w:val="009132D8"/>
    <w:rsid w:val="00913E63"/>
    <w:rsid w:val="00920665"/>
    <w:rsid w:val="009223B8"/>
    <w:rsid w:val="00923275"/>
    <w:rsid w:val="009259DE"/>
    <w:rsid w:val="00926C15"/>
    <w:rsid w:val="0093277C"/>
    <w:rsid w:val="00932A65"/>
    <w:rsid w:val="009338BD"/>
    <w:rsid w:val="00936955"/>
    <w:rsid w:val="009405EE"/>
    <w:rsid w:val="00940C2A"/>
    <w:rsid w:val="00942296"/>
    <w:rsid w:val="00956572"/>
    <w:rsid w:val="00957005"/>
    <w:rsid w:val="00960778"/>
    <w:rsid w:val="00963DCD"/>
    <w:rsid w:val="00964238"/>
    <w:rsid w:val="00967349"/>
    <w:rsid w:val="00972BC2"/>
    <w:rsid w:val="0097370E"/>
    <w:rsid w:val="009826B3"/>
    <w:rsid w:val="00983A66"/>
    <w:rsid w:val="0098407F"/>
    <w:rsid w:val="00986F28"/>
    <w:rsid w:val="00990120"/>
    <w:rsid w:val="009937BE"/>
    <w:rsid w:val="00993F84"/>
    <w:rsid w:val="00995F2C"/>
    <w:rsid w:val="009972B7"/>
    <w:rsid w:val="009A16A6"/>
    <w:rsid w:val="009A3846"/>
    <w:rsid w:val="009A4108"/>
    <w:rsid w:val="009A62D1"/>
    <w:rsid w:val="009A6575"/>
    <w:rsid w:val="009A7003"/>
    <w:rsid w:val="009A7B79"/>
    <w:rsid w:val="009B1811"/>
    <w:rsid w:val="009B1847"/>
    <w:rsid w:val="009B1A0B"/>
    <w:rsid w:val="009B2495"/>
    <w:rsid w:val="009B28E0"/>
    <w:rsid w:val="009B2BFE"/>
    <w:rsid w:val="009B4CB7"/>
    <w:rsid w:val="009C74B1"/>
    <w:rsid w:val="009D241A"/>
    <w:rsid w:val="009D2C1A"/>
    <w:rsid w:val="009D2F91"/>
    <w:rsid w:val="009E6204"/>
    <w:rsid w:val="009E6E95"/>
    <w:rsid w:val="009F1727"/>
    <w:rsid w:val="009F29F3"/>
    <w:rsid w:val="009F2B42"/>
    <w:rsid w:val="009F58EC"/>
    <w:rsid w:val="009F69FA"/>
    <w:rsid w:val="00A000C6"/>
    <w:rsid w:val="00A02D77"/>
    <w:rsid w:val="00A034EC"/>
    <w:rsid w:val="00A073B2"/>
    <w:rsid w:val="00A10E9C"/>
    <w:rsid w:val="00A15F52"/>
    <w:rsid w:val="00A168A0"/>
    <w:rsid w:val="00A17A37"/>
    <w:rsid w:val="00A17D2A"/>
    <w:rsid w:val="00A17D85"/>
    <w:rsid w:val="00A221EE"/>
    <w:rsid w:val="00A24C55"/>
    <w:rsid w:val="00A25AEE"/>
    <w:rsid w:val="00A27670"/>
    <w:rsid w:val="00A309BE"/>
    <w:rsid w:val="00A309E5"/>
    <w:rsid w:val="00A3234B"/>
    <w:rsid w:val="00A328FF"/>
    <w:rsid w:val="00A32F48"/>
    <w:rsid w:val="00A35AD5"/>
    <w:rsid w:val="00A372FF"/>
    <w:rsid w:val="00A37E29"/>
    <w:rsid w:val="00A434F8"/>
    <w:rsid w:val="00A435A3"/>
    <w:rsid w:val="00A43CA9"/>
    <w:rsid w:val="00A45BE0"/>
    <w:rsid w:val="00A4718C"/>
    <w:rsid w:val="00A53543"/>
    <w:rsid w:val="00A548FF"/>
    <w:rsid w:val="00A55A86"/>
    <w:rsid w:val="00A56A45"/>
    <w:rsid w:val="00A5749C"/>
    <w:rsid w:val="00A612F5"/>
    <w:rsid w:val="00A613E5"/>
    <w:rsid w:val="00A614FE"/>
    <w:rsid w:val="00A61D14"/>
    <w:rsid w:val="00A62352"/>
    <w:rsid w:val="00A63BFD"/>
    <w:rsid w:val="00A67A68"/>
    <w:rsid w:val="00A70469"/>
    <w:rsid w:val="00A7299D"/>
    <w:rsid w:val="00A755A2"/>
    <w:rsid w:val="00A805D1"/>
    <w:rsid w:val="00A81D77"/>
    <w:rsid w:val="00A82DD2"/>
    <w:rsid w:val="00A84F3E"/>
    <w:rsid w:val="00A86FD9"/>
    <w:rsid w:val="00A91AA1"/>
    <w:rsid w:val="00A926D6"/>
    <w:rsid w:val="00A9304B"/>
    <w:rsid w:val="00A95099"/>
    <w:rsid w:val="00A95463"/>
    <w:rsid w:val="00AA1108"/>
    <w:rsid w:val="00AA27C1"/>
    <w:rsid w:val="00AA37D7"/>
    <w:rsid w:val="00AA58DA"/>
    <w:rsid w:val="00AB00D9"/>
    <w:rsid w:val="00AB1415"/>
    <w:rsid w:val="00AB28DC"/>
    <w:rsid w:val="00AB2F0F"/>
    <w:rsid w:val="00AB6755"/>
    <w:rsid w:val="00AC1BB4"/>
    <w:rsid w:val="00AC1DFA"/>
    <w:rsid w:val="00AC3230"/>
    <w:rsid w:val="00AC55D8"/>
    <w:rsid w:val="00AD2FB0"/>
    <w:rsid w:val="00AD3613"/>
    <w:rsid w:val="00AD36D4"/>
    <w:rsid w:val="00AD7439"/>
    <w:rsid w:val="00AE07A3"/>
    <w:rsid w:val="00AE0882"/>
    <w:rsid w:val="00AE3B03"/>
    <w:rsid w:val="00AE6E8C"/>
    <w:rsid w:val="00AF174D"/>
    <w:rsid w:val="00AF2537"/>
    <w:rsid w:val="00AF30DE"/>
    <w:rsid w:val="00AF375E"/>
    <w:rsid w:val="00AF59AB"/>
    <w:rsid w:val="00AF5D3D"/>
    <w:rsid w:val="00AF6379"/>
    <w:rsid w:val="00B00002"/>
    <w:rsid w:val="00B02D80"/>
    <w:rsid w:val="00B05125"/>
    <w:rsid w:val="00B05659"/>
    <w:rsid w:val="00B06D36"/>
    <w:rsid w:val="00B123AF"/>
    <w:rsid w:val="00B13481"/>
    <w:rsid w:val="00B15DA8"/>
    <w:rsid w:val="00B2249C"/>
    <w:rsid w:val="00B2296F"/>
    <w:rsid w:val="00B24070"/>
    <w:rsid w:val="00B2410D"/>
    <w:rsid w:val="00B26965"/>
    <w:rsid w:val="00B34440"/>
    <w:rsid w:val="00B3479E"/>
    <w:rsid w:val="00B40A83"/>
    <w:rsid w:val="00B41035"/>
    <w:rsid w:val="00B4214A"/>
    <w:rsid w:val="00B45E4E"/>
    <w:rsid w:val="00B46BCD"/>
    <w:rsid w:val="00B46CD8"/>
    <w:rsid w:val="00B473D0"/>
    <w:rsid w:val="00B50611"/>
    <w:rsid w:val="00B51056"/>
    <w:rsid w:val="00B5238F"/>
    <w:rsid w:val="00B53C91"/>
    <w:rsid w:val="00B54C13"/>
    <w:rsid w:val="00B55FBB"/>
    <w:rsid w:val="00B55FCB"/>
    <w:rsid w:val="00B56359"/>
    <w:rsid w:val="00B56E65"/>
    <w:rsid w:val="00B57204"/>
    <w:rsid w:val="00B602F8"/>
    <w:rsid w:val="00B6091A"/>
    <w:rsid w:val="00B62B67"/>
    <w:rsid w:val="00B65202"/>
    <w:rsid w:val="00B6645D"/>
    <w:rsid w:val="00B678A0"/>
    <w:rsid w:val="00B67FDB"/>
    <w:rsid w:val="00B7197E"/>
    <w:rsid w:val="00B71B92"/>
    <w:rsid w:val="00B71D8A"/>
    <w:rsid w:val="00B72C97"/>
    <w:rsid w:val="00B73460"/>
    <w:rsid w:val="00B73856"/>
    <w:rsid w:val="00B75F75"/>
    <w:rsid w:val="00B82B71"/>
    <w:rsid w:val="00B82CFA"/>
    <w:rsid w:val="00B84FFE"/>
    <w:rsid w:val="00B8680B"/>
    <w:rsid w:val="00B91202"/>
    <w:rsid w:val="00B94426"/>
    <w:rsid w:val="00B9583D"/>
    <w:rsid w:val="00B96889"/>
    <w:rsid w:val="00BA1D93"/>
    <w:rsid w:val="00BA46BA"/>
    <w:rsid w:val="00BA6B76"/>
    <w:rsid w:val="00BA74C7"/>
    <w:rsid w:val="00BA7A30"/>
    <w:rsid w:val="00BA7D0B"/>
    <w:rsid w:val="00BB2772"/>
    <w:rsid w:val="00BB4667"/>
    <w:rsid w:val="00BB6631"/>
    <w:rsid w:val="00BB6646"/>
    <w:rsid w:val="00BB71A7"/>
    <w:rsid w:val="00BB742D"/>
    <w:rsid w:val="00BC09C4"/>
    <w:rsid w:val="00BC1CDB"/>
    <w:rsid w:val="00BC2193"/>
    <w:rsid w:val="00BC4FCB"/>
    <w:rsid w:val="00BC754E"/>
    <w:rsid w:val="00BC7715"/>
    <w:rsid w:val="00BC7E4F"/>
    <w:rsid w:val="00BD2193"/>
    <w:rsid w:val="00BD4AD1"/>
    <w:rsid w:val="00BD68D3"/>
    <w:rsid w:val="00BD699A"/>
    <w:rsid w:val="00BE2127"/>
    <w:rsid w:val="00BE4521"/>
    <w:rsid w:val="00BE79EA"/>
    <w:rsid w:val="00BE7F29"/>
    <w:rsid w:val="00BF0745"/>
    <w:rsid w:val="00BF251A"/>
    <w:rsid w:val="00BF3787"/>
    <w:rsid w:val="00BF52C3"/>
    <w:rsid w:val="00BF54D0"/>
    <w:rsid w:val="00BF6371"/>
    <w:rsid w:val="00BF729B"/>
    <w:rsid w:val="00C00004"/>
    <w:rsid w:val="00C013CC"/>
    <w:rsid w:val="00C03C4E"/>
    <w:rsid w:val="00C047E4"/>
    <w:rsid w:val="00C04B83"/>
    <w:rsid w:val="00C057B2"/>
    <w:rsid w:val="00C057E7"/>
    <w:rsid w:val="00C07DC2"/>
    <w:rsid w:val="00C10809"/>
    <w:rsid w:val="00C137BD"/>
    <w:rsid w:val="00C14F57"/>
    <w:rsid w:val="00C16AA3"/>
    <w:rsid w:val="00C16B2E"/>
    <w:rsid w:val="00C20EDC"/>
    <w:rsid w:val="00C2319A"/>
    <w:rsid w:val="00C2654F"/>
    <w:rsid w:val="00C26EE9"/>
    <w:rsid w:val="00C30FBB"/>
    <w:rsid w:val="00C31258"/>
    <w:rsid w:val="00C33926"/>
    <w:rsid w:val="00C339DC"/>
    <w:rsid w:val="00C35003"/>
    <w:rsid w:val="00C426D7"/>
    <w:rsid w:val="00C42A57"/>
    <w:rsid w:val="00C473A6"/>
    <w:rsid w:val="00C50BDB"/>
    <w:rsid w:val="00C53CF5"/>
    <w:rsid w:val="00C632AC"/>
    <w:rsid w:val="00C65C58"/>
    <w:rsid w:val="00C706AE"/>
    <w:rsid w:val="00C70CA3"/>
    <w:rsid w:val="00C71C0B"/>
    <w:rsid w:val="00C7223F"/>
    <w:rsid w:val="00C73791"/>
    <w:rsid w:val="00C74C29"/>
    <w:rsid w:val="00C75288"/>
    <w:rsid w:val="00C77348"/>
    <w:rsid w:val="00C77403"/>
    <w:rsid w:val="00C775B3"/>
    <w:rsid w:val="00C81F8B"/>
    <w:rsid w:val="00C829E4"/>
    <w:rsid w:val="00C82E05"/>
    <w:rsid w:val="00C84358"/>
    <w:rsid w:val="00C85D4E"/>
    <w:rsid w:val="00C87B2E"/>
    <w:rsid w:val="00C902F0"/>
    <w:rsid w:val="00C943C9"/>
    <w:rsid w:val="00CA069D"/>
    <w:rsid w:val="00CA0C99"/>
    <w:rsid w:val="00CA4C10"/>
    <w:rsid w:val="00CA7327"/>
    <w:rsid w:val="00CB0810"/>
    <w:rsid w:val="00CB0E44"/>
    <w:rsid w:val="00CB4BFA"/>
    <w:rsid w:val="00CB5BD4"/>
    <w:rsid w:val="00CB6C2A"/>
    <w:rsid w:val="00CC130B"/>
    <w:rsid w:val="00CC20C7"/>
    <w:rsid w:val="00CC4D65"/>
    <w:rsid w:val="00CD324F"/>
    <w:rsid w:val="00CD533E"/>
    <w:rsid w:val="00CD54EF"/>
    <w:rsid w:val="00CD73CC"/>
    <w:rsid w:val="00CE0E51"/>
    <w:rsid w:val="00CE367A"/>
    <w:rsid w:val="00CE36FE"/>
    <w:rsid w:val="00CE66E2"/>
    <w:rsid w:val="00CF0F6F"/>
    <w:rsid w:val="00CF2290"/>
    <w:rsid w:val="00CF2C09"/>
    <w:rsid w:val="00D16937"/>
    <w:rsid w:val="00D24160"/>
    <w:rsid w:val="00D24F1A"/>
    <w:rsid w:val="00D26A19"/>
    <w:rsid w:val="00D30629"/>
    <w:rsid w:val="00D30A9A"/>
    <w:rsid w:val="00D3223E"/>
    <w:rsid w:val="00D33F73"/>
    <w:rsid w:val="00D344F1"/>
    <w:rsid w:val="00D35970"/>
    <w:rsid w:val="00D35A78"/>
    <w:rsid w:val="00D406C0"/>
    <w:rsid w:val="00D419C9"/>
    <w:rsid w:val="00D443FC"/>
    <w:rsid w:val="00D456F3"/>
    <w:rsid w:val="00D457C4"/>
    <w:rsid w:val="00D468B4"/>
    <w:rsid w:val="00D525AB"/>
    <w:rsid w:val="00D6090A"/>
    <w:rsid w:val="00D60960"/>
    <w:rsid w:val="00D622A2"/>
    <w:rsid w:val="00D62978"/>
    <w:rsid w:val="00D663C7"/>
    <w:rsid w:val="00D67683"/>
    <w:rsid w:val="00D7008E"/>
    <w:rsid w:val="00D70C5E"/>
    <w:rsid w:val="00D72422"/>
    <w:rsid w:val="00D72D78"/>
    <w:rsid w:val="00D733A4"/>
    <w:rsid w:val="00D747EF"/>
    <w:rsid w:val="00D76F0B"/>
    <w:rsid w:val="00D844F7"/>
    <w:rsid w:val="00D847C0"/>
    <w:rsid w:val="00D85306"/>
    <w:rsid w:val="00D920A5"/>
    <w:rsid w:val="00D938D2"/>
    <w:rsid w:val="00D96913"/>
    <w:rsid w:val="00DA06E5"/>
    <w:rsid w:val="00DA5C84"/>
    <w:rsid w:val="00DA6497"/>
    <w:rsid w:val="00DB1CD8"/>
    <w:rsid w:val="00DB1FAF"/>
    <w:rsid w:val="00DB4084"/>
    <w:rsid w:val="00DB5202"/>
    <w:rsid w:val="00DC128D"/>
    <w:rsid w:val="00DC135A"/>
    <w:rsid w:val="00DC22AF"/>
    <w:rsid w:val="00DC573E"/>
    <w:rsid w:val="00DC65F0"/>
    <w:rsid w:val="00DC68D6"/>
    <w:rsid w:val="00DE1957"/>
    <w:rsid w:val="00DE19FB"/>
    <w:rsid w:val="00DE4D68"/>
    <w:rsid w:val="00DE4EEE"/>
    <w:rsid w:val="00DF09AD"/>
    <w:rsid w:val="00DF0B20"/>
    <w:rsid w:val="00DF18DB"/>
    <w:rsid w:val="00DF2D65"/>
    <w:rsid w:val="00DF3EB3"/>
    <w:rsid w:val="00DF5E32"/>
    <w:rsid w:val="00DF66C8"/>
    <w:rsid w:val="00E05EDC"/>
    <w:rsid w:val="00E06A7A"/>
    <w:rsid w:val="00E06C1D"/>
    <w:rsid w:val="00E070A3"/>
    <w:rsid w:val="00E156B6"/>
    <w:rsid w:val="00E162B5"/>
    <w:rsid w:val="00E16A7E"/>
    <w:rsid w:val="00E17361"/>
    <w:rsid w:val="00E17613"/>
    <w:rsid w:val="00E20CDD"/>
    <w:rsid w:val="00E20DE8"/>
    <w:rsid w:val="00E2152C"/>
    <w:rsid w:val="00E2156E"/>
    <w:rsid w:val="00E25CB1"/>
    <w:rsid w:val="00E3103E"/>
    <w:rsid w:val="00E31BFE"/>
    <w:rsid w:val="00E35C17"/>
    <w:rsid w:val="00E40D3F"/>
    <w:rsid w:val="00E4405C"/>
    <w:rsid w:val="00E44B08"/>
    <w:rsid w:val="00E51189"/>
    <w:rsid w:val="00E51F85"/>
    <w:rsid w:val="00E53C72"/>
    <w:rsid w:val="00E555EC"/>
    <w:rsid w:val="00E61612"/>
    <w:rsid w:val="00E647D0"/>
    <w:rsid w:val="00E649C8"/>
    <w:rsid w:val="00E70090"/>
    <w:rsid w:val="00E70E4F"/>
    <w:rsid w:val="00E72097"/>
    <w:rsid w:val="00E7542B"/>
    <w:rsid w:val="00E85C28"/>
    <w:rsid w:val="00E870A8"/>
    <w:rsid w:val="00E872E9"/>
    <w:rsid w:val="00E90F01"/>
    <w:rsid w:val="00E91933"/>
    <w:rsid w:val="00E93282"/>
    <w:rsid w:val="00EA051D"/>
    <w:rsid w:val="00EA1D4F"/>
    <w:rsid w:val="00EA5B7A"/>
    <w:rsid w:val="00EA6437"/>
    <w:rsid w:val="00EA739B"/>
    <w:rsid w:val="00EA7CD7"/>
    <w:rsid w:val="00EB0023"/>
    <w:rsid w:val="00EB1CC3"/>
    <w:rsid w:val="00EB1F39"/>
    <w:rsid w:val="00EB28AB"/>
    <w:rsid w:val="00EB3640"/>
    <w:rsid w:val="00EB46AF"/>
    <w:rsid w:val="00EB650D"/>
    <w:rsid w:val="00EB74B0"/>
    <w:rsid w:val="00EB78A9"/>
    <w:rsid w:val="00EC039A"/>
    <w:rsid w:val="00EC072C"/>
    <w:rsid w:val="00EC1609"/>
    <w:rsid w:val="00EC16D0"/>
    <w:rsid w:val="00EC36A5"/>
    <w:rsid w:val="00EC5C06"/>
    <w:rsid w:val="00ED3063"/>
    <w:rsid w:val="00ED375A"/>
    <w:rsid w:val="00ED4817"/>
    <w:rsid w:val="00ED508C"/>
    <w:rsid w:val="00EE1557"/>
    <w:rsid w:val="00EE176C"/>
    <w:rsid w:val="00EE1F0A"/>
    <w:rsid w:val="00EE2A87"/>
    <w:rsid w:val="00EE3000"/>
    <w:rsid w:val="00EE50F1"/>
    <w:rsid w:val="00EE5353"/>
    <w:rsid w:val="00EE72B4"/>
    <w:rsid w:val="00EF100A"/>
    <w:rsid w:val="00EF126C"/>
    <w:rsid w:val="00EF231A"/>
    <w:rsid w:val="00EF3790"/>
    <w:rsid w:val="00EF7945"/>
    <w:rsid w:val="00F00E62"/>
    <w:rsid w:val="00F01556"/>
    <w:rsid w:val="00F044A4"/>
    <w:rsid w:val="00F04B07"/>
    <w:rsid w:val="00F077CD"/>
    <w:rsid w:val="00F14AD7"/>
    <w:rsid w:val="00F15513"/>
    <w:rsid w:val="00F15F80"/>
    <w:rsid w:val="00F16261"/>
    <w:rsid w:val="00F16BD2"/>
    <w:rsid w:val="00F17542"/>
    <w:rsid w:val="00F216BE"/>
    <w:rsid w:val="00F21826"/>
    <w:rsid w:val="00F25817"/>
    <w:rsid w:val="00F25C23"/>
    <w:rsid w:val="00F3058F"/>
    <w:rsid w:val="00F31100"/>
    <w:rsid w:val="00F319B1"/>
    <w:rsid w:val="00F32B22"/>
    <w:rsid w:val="00F40954"/>
    <w:rsid w:val="00F40CCB"/>
    <w:rsid w:val="00F41027"/>
    <w:rsid w:val="00F415F1"/>
    <w:rsid w:val="00F42C64"/>
    <w:rsid w:val="00F45CE0"/>
    <w:rsid w:val="00F507AC"/>
    <w:rsid w:val="00F5122D"/>
    <w:rsid w:val="00F512C7"/>
    <w:rsid w:val="00F53EB8"/>
    <w:rsid w:val="00F60D4C"/>
    <w:rsid w:val="00F65E59"/>
    <w:rsid w:val="00F66B45"/>
    <w:rsid w:val="00F67D14"/>
    <w:rsid w:val="00F73978"/>
    <w:rsid w:val="00F74F02"/>
    <w:rsid w:val="00F75D65"/>
    <w:rsid w:val="00F7763F"/>
    <w:rsid w:val="00F82003"/>
    <w:rsid w:val="00F83336"/>
    <w:rsid w:val="00F85A5E"/>
    <w:rsid w:val="00F86B38"/>
    <w:rsid w:val="00F873A2"/>
    <w:rsid w:val="00F920B7"/>
    <w:rsid w:val="00F9261F"/>
    <w:rsid w:val="00F92EE9"/>
    <w:rsid w:val="00F935B7"/>
    <w:rsid w:val="00F97F81"/>
    <w:rsid w:val="00FA1F63"/>
    <w:rsid w:val="00FA3766"/>
    <w:rsid w:val="00FB0B0D"/>
    <w:rsid w:val="00FB1E5B"/>
    <w:rsid w:val="00FB276C"/>
    <w:rsid w:val="00FB3963"/>
    <w:rsid w:val="00FB6C9D"/>
    <w:rsid w:val="00FB6FFC"/>
    <w:rsid w:val="00FC0A21"/>
    <w:rsid w:val="00FC3180"/>
    <w:rsid w:val="00FC36F3"/>
    <w:rsid w:val="00FC3F88"/>
    <w:rsid w:val="00FC43B0"/>
    <w:rsid w:val="00FC466B"/>
    <w:rsid w:val="00FC73FE"/>
    <w:rsid w:val="00FD0EDC"/>
    <w:rsid w:val="00FD1EC1"/>
    <w:rsid w:val="00FD2A74"/>
    <w:rsid w:val="00FD2FCB"/>
    <w:rsid w:val="00FD3BF8"/>
    <w:rsid w:val="00FD4B67"/>
    <w:rsid w:val="00FD7871"/>
    <w:rsid w:val="00FD7FFD"/>
    <w:rsid w:val="00FE24E5"/>
    <w:rsid w:val="00FE26CD"/>
    <w:rsid w:val="00FE4DD2"/>
    <w:rsid w:val="00FE603B"/>
    <w:rsid w:val="00FF07B3"/>
    <w:rsid w:val="00FF1026"/>
    <w:rsid w:val="00FF2DA2"/>
    <w:rsid w:val="00FF2EA6"/>
    <w:rsid w:val="00FF5E58"/>
    <w:rsid w:val="00FF6706"/>
    <w:rsid w:val="00FF747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A5C55"/>
    <w:pPr>
      <w:suppressAutoHyphens/>
    </w:pPr>
    <w:rPr>
      <w:rFonts w:ascii="Calibri" w:eastAsia="Calibri" w:hAnsi="Calibri" w:cs="Times New Roman"/>
      <w:lang w:eastAsia="ar-SA"/>
    </w:rPr>
  </w:style>
  <w:style w:type="paragraph" w:styleId="Nadpis1">
    <w:name w:val="heading 1"/>
    <w:basedOn w:val="Normln"/>
    <w:next w:val="Normln"/>
    <w:link w:val="Nadpis1Char"/>
    <w:uiPriority w:val="9"/>
    <w:qFormat/>
    <w:rsid w:val="005925BF"/>
    <w:pPr>
      <w:keepNext/>
      <w:keepLines/>
      <w:suppressAutoHyphens w:val="0"/>
      <w:spacing w:before="400" w:line="240" w:lineRule="auto"/>
      <w:outlineLvl w:val="0"/>
    </w:pPr>
    <w:rPr>
      <w:rFonts w:asciiTheme="majorHAnsi" w:eastAsiaTheme="majorEastAsia" w:hAnsiTheme="majorHAnsi" w:cstheme="majorBidi"/>
      <w:b/>
      <w:bCs/>
      <w:color w:val="CDA41C" w:themeColor="accent1" w:themeShade="BF"/>
      <w:sz w:val="56"/>
      <w:szCs w:val="28"/>
      <w:lang w:eastAsia="en-US"/>
    </w:rPr>
  </w:style>
  <w:style w:type="paragraph" w:styleId="Nadpis2">
    <w:name w:val="heading 2"/>
    <w:basedOn w:val="Normln"/>
    <w:next w:val="Normln"/>
    <w:link w:val="Nadpis2Char"/>
    <w:uiPriority w:val="9"/>
    <w:unhideWhenUsed/>
    <w:qFormat/>
    <w:rsid w:val="005925BF"/>
    <w:pPr>
      <w:keepNext/>
      <w:keepLines/>
      <w:suppressAutoHyphens w:val="0"/>
      <w:spacing w:before="300"/>
      <w:outlineLvl w:val="1"/>
    </w:pPr>
    <w:rPr>
      <w:rFonts w:asciiTheme="majorHAnsi" w:eastAsiaTheme="majorEastAsia" w:hAnsiTheme="majorHAnsi" w:cstheme="majorBidi"/>
      <w:b/>
      <w:bCs/>
      <w:color w:val="E7C452" w:themeColor="accent1"/>
      <w:sz w:val="44"/>
      <w:szCs w:val="26"/>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7223F"/>
    <w:pPr>
      <w:tabs>
        <w:tab w:val="center" w:pos="4536"/>
        <w:tab w:val="right" w:pos="9072"/>
      </w:tabs>
      <w:suppressAutoHyphens w:val="0"/>
      <w:spacing w:after="0" w:line="240" w:lineRule="auto"/>
    </w:pPr>
    <w:rPr>
      <w:rFonts w:asciiTheme="minorHAnsi" w:eastAsiaTheme="minorHAnsi" w:hAnsiTheme="minorHAnsi" w:cstheme="minorBidi"/>
      <w:lang w:eastAsia="en-US"/>
    </w:rPr>
  </w:style>
  <w:style w:type="character" w:customStyle="1" w:styleId="ZhlavChar">
    <w:name w:val="Záhlaví Char"/>
    <w:basedOn w:val="Standardnpsmoodstavce"/>
    <w:link w:val="Zhlav"/>
    <w:uiPriority w:val="99"/>
    <w:rsid w:val="00C7223F"/>
  </w:style>
  <w:style w:type="paragraph" w:styleId="Zpat">
    <w:name w:val="footer"/>
    <w:basedOn w:val="Normln"/>
    <w:link w:val="ZpatChar"/>
    <w:uiPriority w:val="99"/>
    <w:unhideWhenUsed/>
    <w:rsid w:val="00C7223F"/>
    <w:pPr>
      <w:tabs>
        <w:tab w:val="center" w:pos="4536"/>
        <w:tab w:val="right" w:pos="9072"/>
      </w:tabs>
      <w:suppressAutoHyphens w:val="0"/>
      <w:spacing w:after="0" w:line="240" w:lineRule="auto"/>
    </w:pPr>
    <w:rPr>
      <w:rFonts w:asciiTheme="minorHAnsi" w:eastAsiaTheme="minorHAnsi" w:hAnsiTheme="minorHAnsi" w:cstheme="minorBidi"/>
      <w:lang w:eastAsia="en-US"/>
    </w:rPr>
  </w:style>
  <w:style w:type="character" w:customStyle="1" w:styleId="ZpatChar">
    <w:name w:val="Zápatí Char"/>
    <w:basedOn w:val="Standardnpsmoodstavce"/>
    <w:link w:val="Zpat"/>
    <w:uiPriority w:val="99"/>
    <w:rsid w:val="00C7223F"/>
  </w:style>
  <w:style w:type="paragraph" w:styleId="Textbubliny">
    <w:name w:val="Balloon Text"/>
    <w:basedOn w:val="Normln"/>
    <w:link w:val="TextbublinyChar"/>
    <w:uiPriority w:val="99"/>
    <w:semiHidden/>
    <w:unhideWhenUsed/>
    <w:rsid w:val="00C7223F"/>
    <w:pPr>
      <w:suppressAutoHyphens w:val="0"/>
      <w:spacing w:after="0" w:line="240" w:lineRule="auto"/>
    </w:pPr>
    <w:rPr>
      <w:rFonts w:ascii="Tahoma" w:eastAsiaTheme="minorHAnsi" w:hAnsi="Tahoma" w:cs="Tahoma"/>
      <w:sz w:val="16"/>
      <w:szCs w:val="16"/>
      <w:lang w:eastAsia="en-US"/>
    </w:rPr>
  </w:style>
  <w:style w:type="character" w:customStyle="1" w:styleId="TextbublinyChar">
    <w:name w:val="Text bubliny Char"/>
    <w:basedOn w:val="Standardnpsmoodstavce"/>
    <w:link w:val="Textbubliny"/>
    <w:uiPriority w:val="99"/>
    <w:semiHidden/>
    <w:rsid w:val="00C7223F"/>
    <w:rPr>
      <w:rFonts w:ascii="Tahoma" w:hAnsi="Tahoma" w:cs="Tahoma"/>
      <w:sz w:val="16"/>
      <w:szCs w:val="16"/>
    </w:rPr>
  </w:style>
  <w:style w:type="paragraph" w:styleId="Nzev">
    <w:name w:val="Title"/>
    <w:basedOn w:val="Normln"/>
    <w:next w:val="Normln"/>
    <w:link w:val="NzevChar"/>
    <w:uiPriority w:val="10"/>
    <w:qFormat/>
    <w:rsid w:val="005925BF"/>
    <w:pPr>
      <w:pBdr>
        <w:bottom w:val="single" w:sz="8" w:space="4" w:color="E7C452" w:themeColor="accent1"/>
      </w:pBdr>
      <w:suppressAutoHyphens w:val="0"/>
      <w:spacing w:after="300" w:line="240" w:lineRule="auto"/>
      <w:contextualSpacing/>
      <w:jc w:val="center"/>
    </w:pPr>
    <w:rPr>
      <w:rFonts w:asciiTheme="majorHAnsi" w:eastAsiaTheme="majorEastAsia" w:hAnsiTheme="majorHAnsi" w:cstheme="majorBidi"/>
      <w:color w:val="008780" w:themeColor="text2" w:themeShade="BF"/>
      <w:spacing w:val="5"/>
      <w:kern w:val="28"/>
      <w:sz w:val="72"/>
      <w:szCs w:val="52"/>
      <w:lang w:eastAsia="en-US"/>
    </w:rPr>
  </w:style>
  <w:style w:type="character" w:customStyle="1" w:styleId="NzevChar">
    <w:name w:val="Název Char"/>
    <w:basedOn w:val="Standardnpsmoodstavce"/>
    <w:link w:val="Nzev"/>
    <w:uiPriority w:val="10"/>
    <w:rsid w:val="005925BF"/>
    <w:rPr>
      <w:rFonts w:asciiTheme="majorHAnsi" w:eastAsiaTheme="majorEastAsia" w:hAnsiTheme="majorHAnsi" w:cstheme="majorBidi"/>
      <w:color w:val="008780" w:themeColor="text2" w:themeShade="BF"/>
      <w:spacing w:val="5"/>
      <w:kern w:val="28"/>
      <w:sz w:val="72"/>
      <w:szCs w:val="52"/>
    </w:rPr>
  </w:style>
  <w:style w:type="paragraph" w:styleId="Podtitul">
    <w:name w:val="Subtitle"/>
    <w:basedOn w:val="Normln"/>
    <w:next w:val="Normln"/>
    <w:link w:val="PodtitulChar"/>
    <w:uiPriority w:val="11"/>
    <w:qFormat/>
    <w:rsid w:val="005925BF"/>
    <w:pPr>
      <w:numPr>
        <w:ilvl w:val="1"/>
      </w:numPr>
      <w:suppressAutoHyphens w:val="0"/>
      <w:jc w:val="center"/>
    </w:pPr>
    <w:rPr>
      <w:rFonts w:asciiTheme="majorHAnsi" w:eastAsiaTheme="majorEastAsia" w:hAnsiTheme="majorHAnsi" w:cstheme="majorBidi"/>
      <w:iCs/>
      <w:color w:val="E7C452" w:themeColor="accent1"/>
      <w:spacing w:val="15"/>
      <w:sz w:val="36"/>
      <w:szCs w:val="24"/>
      <w:lang w:eastAsia="en-US"/>
    </w:rPr>
  </w:style>
  <w:style w:type="character" w:customStyle="1" w:styleId="PodtitulChar">
    <w:name w:val="Podtitul Char"/>
    <w:basedOn w:val="Standardnpsmoodstavce"/>
    <w:link w:val="Podtitul"/>
    <w:uiPriority w:val="11"/>
    <w:rsid w:val="005925BF"/>
    <w:rPr>
      <w:rFonts w:asciiTheme="majorHAnsi" w:eastAsiaTheme="majorEastAsia" w:hAnsiTheme="majorHAnsi" w:cstheme="majorBidi"/>
      <w:iCs/>
      <w:color w:val="E7C452" w:themeColor="accent1"/>
      <w:spacing w:val="15"/>
      <w:sz w:val="36"/>
      <w:szCs w:val="24"/>
    </w:rPr>
  </w:style>
  <w:style w:type="character" w:customStyle="1" w:styleId="Nadpis1Char">
    <w:name w:val="Nadpis 1 Char"/>
    <w:basedOn w:val="Standardnpsmoodstavce"/>
    <w:link w:val="Nadpis1"/>
    <w:uiPriority w:val="9"/>
    <w:rsid w:val="005925BF"/>
    <w:rPr>
      <w:rFonts w:asciiTheme="majorHAnsi" w:eastAsiaTheme="majorEastAsia" w:hAnsiTheme="majorHAnsi" w:cstheme="majorBidi"/>
      <w:b/>
      <w:bCs/>
      <w:color w:val="CDA41C" w:themeColor="accent1" w:themeShade="BF"/>
      <w:sz w:val="56"/>
      <w:szCs w:val="28"/>
    </w:rPr>
  </w:style>
  <w:style w:type="character" w:customStyle="1" w:styleId="Nadpis2Char">
    <w:name w:val="Nadpis 2 Char"/>
    <w:basedOn w:val="Standardnpsmoodstavce"/>
    <w:link w:val="Nadpis2"/>
    <w:uiPriority w:val="9"/>
    <w:rsid w:val="005925BF"/>
    <w:rPr>
      <w:rFonts w:asciiTheme="majorHAnsi" w:eastAsiaTheme="majorEastAsia" w:hAnsiTheme="majorHAnsi" w:cstheme="majorBidi"/>
      <w:b/>
      <w:bCs/>
      <w:color w:val="E7C452" w:themeColor="accent1"/>
      <w:sz w:val="44"/>
      <w:szCs w:val="26"/>
    </w:rPr>
  </w:style>
  <w:style w:type="character" w:styleId="Hypertextovodkaz">
    <w:name w:val="Hyperlink"/>
    <w:basedOn w:val="Standardnpsmoodstavce"/>
    <w:rsid w:val="002A5C55"/>
    <w:rPr>
      <w:color w:val="0000FF"/>
      <w:u w:val="single"/>
    </w:rPr>
  </w:style>
  <w:style w:type="character" w:styleId="Siln">
    <w:name w:val="Strong"/>
    <w:basedOn w:val="Standardnpsmoodstavce"/>
    <w:qFormat/>
    <w:rsid w:val="002A5C55"/>
    <w:rPr>
      <w:b/>
      <w:bCs/>
    </w:rPr>
  </w:style>
  <w:style w:type="character" w:styleId="Zvraznn">
    <w:name w:val="Emphasis"/>
    <w:qFormat/>
    <w:rsid w:val="002A5C55"/>
    <w:rPr>
      <w:i/>
      <w:iCs/>
    </w:rPr>
  </w:style>
  <w:style w:type="paragraph" w:styleId="Zkladntext">
    <w:name w:val="Body Text"/>
    <w:basedOn w:val="Normln"/>
    <w:link w:val="ZkladntextChar"/>
    <w:rsid w:val="002A5C55"/>
    <w:pPr>
      <w:spacing w:after="120"/>
    </w:pPr>
  </w:style>
  <w:style w:type="character" w:customStyle="1" w:styleId="ZkladntextChar">
    <w:name w:val="Základní text Char"/>
    <w:basedOn w:val="Standardnpsmoodstavce"/>
    <w:link w:val="Zkladntext"/>
    <w:rsid w:val="002A5C55"/>
    <w:rPr>
      <w:rFonts w:ascii="Calibri" w:eastAsia="Calibri" w:hAnsi="Calibri" w:cs="Times New Roman"/>
      <w:lang w:eastAsia="ar-SA"/>
    </w:rPr>
  </w:style>
  <w:style w:type="character" w:customStyle="1" w:styleId="Standardnpsmoodstavce1">
    <w:name w:val="Standardní písmo odstavce1"/>
    <w:rsid w:val="00BD4AD1"/>
  </w:style>
  <w:style w:type="character" w:customStyle="1" w:styleId="TextpoznpodarouChar">
    <w:name w:val="Text pozn. pod čarou Char"/>
    <w:basedOn w:val="Standardnpsmoodstavce"/>
    <w:link w:val="Textpoznpodarou"/>
    <w:uiPriority w:val="99"/>
    <w:semiHidden/>
    <w:rsid w:val="0021000E"/>
    <w:rPr>
      <w:sz w:val="20"/>
      <w:szCs w:val="20"/>
    </w:rPr>
  </w:style>
  <w:style w:type="character" w:styleId="Znakapoznpodarou">
    <w:name w:val="footnote reference"/>
    <w:basedOn w:val="Standardnpsmoodstavce"/>
    <w:uiPriority w:val="99"/>
    <w:semiHidden/>
    <w:unhideWhenUsed/>
    <w:rsid w:val="0021000E"/>
    <w:rPr>
      <w:vertAlign w:val="superscript"/>
    </w:rPr>
  </w:style>
  <w:style w:type="paragraph" w:styleId="Textpoznpodarou">
    <w:name w:val="footnote text"/>
    <w:basedOn w:val="Normln"/>
    <w:link w:val="TextpoznpodarouChar"/>
    <w:uiPriority w:val="99"/>
    <w:semiHidden/>
    <w:unhideWhenUsed/>
    <w:rsid w:val="0021000E"/>
    <w:pPr>
      <w:spacing w:after="0" w:line="240" w:lineRule="auto"/>
    </w:pPr>
    <w:rPr>
      <w:rFonts w:asciiTheme="minorHAnsi" w:eastAsiaTheme="minorHAnsi" w:hAnsiTheme="minorHAnsi" w:cstheme="minorBidi"/>
      <w:sz w:val="20"/>
      <w:szCs w:val="20"/>
      <w:lang w:eastAsia="en-US"/>
    </w:rPr>
  </w:style>
  <w:style w:type="character" w:customStyle="1" w:styleId="TextpoznpodarouChar1">
    <w:name w:val="Text pozn. pod čarou Char1"/>
    <w:basedOn w:val="Standardnpsmoodstavce"/>
    <w:link w:val="Textpoznpodarou"/>
    <w:uiPriority w:val="99"/>
    <w:semiHidden/>
    <w:rsid w:val="0021000E"/>
    <w:rPr>
      <w:rFonts w:ascii="Calibri" w:eastAsia="Calibri" w:hAnsi="Calibri" w:cs="Times New Roman"/>
      <w:sz w:val="20"/>
      <w:szCs w:val="20"/>
      <w:lang w:eastAsia="ar-SA"/>
    </w:rPr>
  </w:style>
  <w:style w:type="character" w:styleId="Sledovanodkaz">
    <w:name w:val="FollowedHyperlink"/>
    <w:basedOn w:val="Standardnpsmoodstavce"/>
    <w:uiPriority w:val="99"/>
    <w:semiHidden/>
    <w:unhideWhenUsed/>
    <w:rsid w:val="000461A7"/>
    <w:rPr>
      <w:color w:val="00EEE3" w:themeColor="followedHyperlink"/>
      <w:u w:val="single"/>
    </w:rPr>
  </w:style>
  <w:style w:type="paragraph" w:styleId="Odstavecseseznamem">
    <w:name w:val="List Paragraph"/>
    <w:basedOn w:val="Normln"/>
    <w:uiPriority w:val="34"/>
    <w:qFormat/>
    <w:rsid w:val="00291887"/>
    <w:pPr>
      <w:ind w:left="720"/>
      <w:contextualSpacing/>
    </w:pPr>
  </w:style>
  <w:style w:type="character" w:customStyle="1" w:styleId="apple-converted-space">
    <w:name w:val="apple-converted-space"/>
    <w:basedOn w:val="Standardnpsmoodstavce"/>
    <w:rsid w:val="00766F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A5C55"/>
    <w:pPr>
      <w:suppressAutoHyphens/>
    </w:pPr>
    <w:rPr>
      <w:rFonts w:ascii="Calibri" w:eastAsia="Calibri" w:hAnsi="Calibri" w:cs="Times New Roman"/>
      <w:lang w:eastAsia="ar-SA"/>
    </w:rPr>
  </w:style>
  <w:style w:type="paragraph" w:styleId="Nadpis1">
    <w:name w:val="heading 1"/>
    <w:basedOn w:val="Normln"/>
    <w:next w:val="Normln"/>
    <w:link w:val="Nadpis1Char"/>
    <w:uiPriority w:val="9"/>
    <w:qFormat/>
    <w:rsid w:val="005925BF"/>
    <w:pPr>
      <w:keepNext/>
      <w:keepLines/>
      <w:suppressAutoHyphens w:val="0"/>
      <w:spacing w:before="400" w:line="240" w:lineRule="auto"/>
      <w:outlineLvl w:val="0"/>
    </w:pPr>
    <w:rPr>
      <w:rFonts w:asciiTheme="majorHAnsi" w:eastAsiaTheme="majorEastAsia" w:hAnsiTheme="majorHAnsi" w:cstheme="majorBidi"/>
      <w:b/>
      <w:bCs/>
      <w:color w:val="CDA41C" w:themeColor="accent1" w:themeShade="BF"/>
      <w:sz w:val="56"/>
      <w:szCs w:val="28"/>
      <w:lang w:eastAsia="en-US"/>
    </w:rPr>
  </w:style>
  <w:style w:type="paragraph" w:styleId="Nadpis2">
    <w:name w:val="heading 2"/>
    <w:basedOn w:val="Normln"/>
    <w:next w:val="Normln"/>
    <w:link w:val="Nadpis2Char"/>
    <w:uiPriority w:val="9"/>
    <w:unhideWhenUsed/>
    <w:qFormat/>
    <w:rsid w:val="005925BF"/>
    <w:pPr>
      <w:keepNext/>
      <w:keepLines/>
      <w:suppressAutoHyphens w:val="0"/>
      <w:spacing w:before="300"/>
      <w:outlineLvl w:val="1"/>
    </w:pPr>
    <w:rPr>
      <w:rFonts w:asciiTheme="majorHAnsi" w:eastAsiaTheme="majorEastAsia" w:hAnsiTheme="majorHAnsi" w:cstheme="majorBidi"/>
      <w:b/>
      <w:bCs/>
      <w:color w:val="E7C452" w:themeColor="accent1"/>
      <w:sz w:val="44"/>
      <w:szCs w:val="26"/>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C7223F"/>
    <w:pPr>
      <w:tabs>
        <w:tab w:val="center" w:pos="4536"/>
        <w:tab w:val="right" w:pos="9072"/>
      </w:tabs>
      <w:suppressAutoHyphens w:val="0"/>
      <w:spacing w:after="0" w:line="240" w:lineRule="auto"/>
    </w:pPr>
    <w:rPr>
      <w:rFonts w:asciiTheme="minorHAnsi" w:eastAsiaTheme="minorHAnsi" w:hAnsiTheme="minorHAnsi" w:cstheme="minorBidi"/>
      <w:lang w:eastAsia="en-US"/>
    </w:rPr>
  </w:style>
  <w:style w:type="character" w:customStyle="1" w:styleId="ZhlavChar">
    <w:name w:val="Záhlaví Char"/>
    <w:basedOn w:val="Standardnpsmoodstavce"/>
    <w:link w:val="Zhlav"/>
    <w:uiPriority w:val="99"/>
    <w:rsid w:val="00C7223F"/>
  </w:style>
  <w:style w:type="paragraph" w:styleId="Zpat">
    <w:name w:val="footer"/>
    <w:basedOn w:val="Normln"/>
    <w:link w:val="ZpatChar"/>
    <w:uiPriority w:val="99"/>
    <w:unhideWhenUsed/>
    <w:rsid w:val="00C7223F"/>
    <w:pPr>
      <w:tabs>
        <w:tab w:val="center" w:pos="4536"/>
        <w:tab w:val="right" w:pos="9072"/>
      </w:tabs>
      <w:suppressAutoHyphens w:val="0"/>
      <w:spacing w:after="0" w:line="240" w:lineRule="auto"/>
    </w:pPr>
    <w:rPr>
      <w:rFonts w:asciiTheme="minorHAnsi" w:eastAsiaTheme="minorHAnsi" w:hAnsiTheme="minorHAnsi" w:cstheme="minorBidi"/>
      <w:lang w:eastAsia="en-US"/>
    </w:rPr>
  </w:style>
  <w:style w:type="character" w:customStyle="1" w:styleId="ZpatChar">
    <w:name w:val="Zápatí Char"/>
    <w:basedOn w:val="Standardnpsmoodstavce"/>
    <w:link w:val="Zpat"/>
    <w:uiPriority w:val="99"/>
    <w:rsid w:val="00C7223F"/>
  </w:style>
  <w:style w:type="paragraph" w:styleId="Textbubliny">
    <w:name w:val="Balloon Text"/>
    <w:basedOn w:val="Normln"/>
    <w:link w:val="TextbublinyChar"/>
    <w:uiPriority w:val="99"/>
    <w:semiHidden/>
    <w:unhideWhenUsed/>
    <w:rsid w:val="00C7223F"/>
    <w:pPr>
      <w:suppressAutoHyphens w:val="0"/>
      <w:spacing w:after="0" w:line="240" w:lineRule="auto"/>
    </w:pPr>
    <w:rPr>
      <w:rFonts w:ascii="Tahoma" w:eastAsiaTheme="minorHAnsi" w:hAnsi="Tahoma" w:cs="Tahoma"/>
      <w:sz w:val="16"/>
      <w:szCs w:val="16"/>
      <w:lang w:eastAsia="en-US"/>
    </w:rPr>
  </w:style>
  <w:style w:type="character" w:customStyle="1" w:styleId="TextbublinyChar">
    <w:name w:val="Text bubliny Char"/>
    <w:basedOn w:val="Standardnpsmoodstavce"/>
    <w:link w:val="Textbubliny"/>
    <w:uiPriority w:val="99"/>
    <w:semiHidden/>
    <w:rsid w:val="00C7223F"/>
    <w:rPr>
      <w:rFonts w:ascii="Tahoma" w:hAnsi="Tahoma" w:cs="Tahoma"/>
      <w:sz w:val="16"/>
      <w:szCs w:val="16"/>
    </w:rPr>
  </w:style>
  <w:style w:type="paragraph" w:styleId="Nzev">
    <w:name w:val="Title"/>
    <w:basedOn w:val="Normln"/>
    <w:next w:val="Normln"/>
    <w:link w:val="NzevChar"/>
    <w:uiPriority w:val="10"/>
    <w:qFormat/>
    <w:rsid w:val="005925BF"/>
    <w:pPr>
      <w:pBdr>
        <w:bottom w:val="single" w:sz="8" w:space="4" w:color="E7C452" w:themeColor="accent1"/>
      </w:pBdr>
      <w:suppressAutoHyphens w:val="0"/>
      <w:spacing w:after="300" w:line="240" w:lineRule="auto"/>
      <w:contextualSpacing/>
      <w:jc w:val="center"/>
    </w:pPr>
    <w:rPr>
      <w:rFonts w:asciiTheme="majorHAnsi" w:eastAsiaTheme="majorEastAsia" w:hAnsiTheme="majorHAnsi" w:cstheme="majorBidi"/>
      <w:color w:val="008780" w:themeColor="text2" w:themeShade="BF"/>
      <w:spacing w:val="5"/>
      <w:kern w:val="28"/>
      <w:sz w:val="72"/>
      <w:szCs w:val="52"/>
      <w:lang w:eastAsia="en-US"/>
    </w:rPr>
  </w:style>
  <w:style w:type="character" w:customStyle="1" w:styleId="NzevChar">
    <w:name w:val="Název Char"/>
    <w:basedOn w:val="Standardnpsmoodstavce"/>
    <w:link w:val="Nzev"/>
    <w:uiPriority w:val="10"/>
    <w:rsid w:val="005925BF"/>
    <w:rPr>
      <w:rFonts w:asciiTheme="majorHAnsi" w:eastAsiaTheme="majorEastAsia" w:hAnsiTheme="majorHAnsi" w:cstheme="majorBidi"/>
      <w:color w:val="008780" w:themeColor="text2" w:themeShade="BF"/>
      <w:spacing w:val="5"/>
      <w:kern w:val="28"/>
      <w:sz w:val="72"/>
      <w:szCs w:val="52"/>
    </w:rPr>
  </w:style>
  <w:style w:type="paragraph" w:styleId="Podtitul">
    <w:name w:val="Subtitle"/>
    <w:basedOn w:val="Normln"/>
    <w:next w:val="Normln"/>
    <w:link w:val="PodtitulChar"/>
    <w:uiPriority w:val="11"/>
    <w:qFormat/>
    <w:rsid w:val="005925BF"/>
    <w:pPr>
      <w:numPr>
        <w:ilvl w:val="1"/>
      </w:numPr>
      <w:suppressAutoHyphens w:val="0"/>
      <w:jc w:val="center"/>
    </w:pPr>
    <w:rPr>
      <w:rFonts w:asciiTheme="majorHAnsi" w:eastAsiaTheme="majorEastAsia" w:hAnsiTheme="majorHAnsi" w:cstheme="majorBidi"/>
      <w:iCs/>
      <w:color w:val="E7C452" w:themeColor="accent1"/>
      <w:spacing w:val="15"/>
      <w:sz w:val="36"/>
      <w:szCs w:val="24"/>
      <w:lang w:eastAsia="en-US"/>
    </w:rPr>
  </w:style>
  <w:style w:type="character" w:customStyle="1" w:styleId="PodtitulChar">
    <w:name w:val="Podtitul Char"/>
    <w:basedOn w:val="Standardnpsmoodstavce"/>
    <w:link w:val="Podtitul"/>
    <w:uiPriority w:val="11"/>
    <w:rsid w:val="005925BF"/>
    <w:rPr>
      <w:rFonts w:asciiTheme="majorHAnsi" w:eastAsiaTheme="majorEastAsia" w:hAnsiTheme="majorHAnsi" w:cstheme="majorBidi"/>
      <w:iCs/>
      <w:color w:val="E7C452" w:themeColor="accent1"/>
      <w:spacing w:val="15"/>
      <w:sz w:val="36"/>
      <w:szCs w:val="24"/>
    </w:rPr>
  </w:style>
  <w:style w:type="character" w:customStyle="1" w:styleId="Nadpis1Char">
    <w:name w:val="Nadpis 1 Char"/>
    <w:basedOn w:val="Standardnpsmoodstavce"/>
    <w:link w:val="Nadpis1"/>
    <w:uiPriority w:val="9"/>
    <w:rsid w:val="005925BF"/>
    <w:rPr>
      <w:rFonts w:asciiTheme="majorHAnsi" w:eastAsiaTheme="majorEastAsia" w:hAnsiTheme="majorHAnsi" w:cstheme="majorBidi"/>
      <w:b/>
      <w:bCs/>
      <w:color w:val="CDA41C" w:themeColor="accent1" w:themeShade="BF"/>
      <w:sz w:val="56"/>
      <w:szCs w:val="28"/>
    </w:rPr>
  </w:style>
  <w:style w:type="character" w:customStyle="1" w:styleId="Nadpis2Char">
    <w:name w:val="Nadpis 2 Char"/>
    <w:basedOn w:val="Standardnpsmoodstavce"/>
    <w:link w:val="Nadpis2"/>
    <w:uiPriority w:val="9"/>
    <w:rsid w:val="005925BF"/>
    <w:rPr>
      <w:rFonts w:asciiTheme="majorHAnsi" w:eastAsiaTheme="majorEastAsia" w:hAnsiTheme="majorHAnsi" w:cstheme="majorBidi"/>
      <w:b/>
      <w:bCs/>
      <w:color w:val="E7C452" w:themeColor="accent1"/>
      <w:sz w:val="44"/>
      <w:szCs w:val="26"/>
    </w:rPr>
  </w:style>
  <w:style w:type="character" w:styleId="Hypertextovodkaz">
    <w:name w:val="Hyperlink"/>
    <w:basedOn w:val="Standardnpsmoodstavce"/>
    <w:rsid w:val="002A5C55"/>
    <w:rPr>
      <w:color w:val="0000FF"/>
      <w:u w:val="single"/>
    </w:rPr>
  </w:style>
  <w:style w:type="character" w:styleId="Siln">
    <w:name w:val="Strong"/>
    <w:basedOn w:val="Standardnpsmoodstavce"/>
    <w:qFormat/>
    <w:rsid w:val="002A5C55"/>
    <w:rPr>
      <w:b/>
      <w:bCs/>
    </w:rPr>
  </w:style>
  <w:style w:type="character" w:styleId="Zvraznn">
    <w:name w:val="Emphasis"/>
    <w:qFormat/>
    <w:rsid w:val="002A5C55"/>
    <w:rPr>
      <w:i/>
      <w:iCs/>
    </w:rPr>
  </w:style>
  <w:style w:type="paragraph" w:styleId="Zkladntext">
    <w:name w:val="Body Text"/>
    <w:basedOn w:val="Normln"/>
    <w:link w:val="ZkladntextChar"/>
    <w:rsid w:val="002A5C55"/>
    <w:pPr>
      <w:spacing w:after="120"/>
    </w:pPr>
  </w:style>
  <w:style w:type="character" w:customStyle="1" w:styleId="ZkladntextChar">
    <w:name w:val="Základní text Char"/>
    <w:basedOn w:val="Standardnpsmoodstavce"/>
    <w:link w:val="Zkladntext"/>
    <w:rsid w:val="002A5C55"/>
    <w:rPr>
      <w:rFonts w:ascii="Calibri" w:eastAsia="Calibri" w:hAnsi="Calibri" w:cs="Times New Roman"/>
      <w:lang w:eastAsia="ar-SA"/>
    </w:rPr>
  </w:style>
  <w:style w:type="character" w:customStyle="1" w:styleId="Standardnpsmoodstavce1">
    <w:name w:val="Standardní písmo odstavce1"/>
    <w:rsid w:val="00BD4AD1"/>
  </w:style>
</w:styles>
</file>

<file path=word/webSettings.xml><?xml version="1.0" encoding="utf-8"?>
<w:webSettings xmlns:r="http://schemas.openxmlformats.org/officeDocument/2006/relationships" xmlns:w="http://schemas.openxmlformats.org/wordprocessingml/2006/main">
  <w:divs>
    <w:div w:id="353771841">
      <w:bodyDiv w:val="1"/>
      <w:marLeft w:val="0"/>
      <w:marRight w:val="0"/>
      <w:marTop w:val="0"/>
      <w:marBottom w:val="0"/>
      <w:divBdr>
        <w:top w:val="none" w:sz="0" w:space="0" w:color="auto"/>
        <w:left w:val="none" w:sz="0" w:space="0" w:color="auto"/>
        <w:bottom w:val="none" w:sz="0" w:space="0" w:color="auto"/>
        <w:right w:val="none" w:sz="0" w:space="0" w:color="auto"/>
      </w:divBdr>
      <w:divsChild>
        <w:div w:id="1458337150">
          <w:marLeft w:val="0"/>
          <w:marRight w:val="0"/>
          <w:marTop w:val="0"/>
          <w:marBottom w:val="600"/>
          <w:divBdr>
            <w:top w:val="none" w:sz="0" w:space="0" w:color="auto"/>
            <w:left w:val="none" w:sz="0" w:space="0" w:color="auto"/>
            <w:bottom w:val="none" w:sz="0" w:space="0" w:color="auto"/>
            <w:right w:val="none" w:sz="0" w:space="0" w:color="auto"/>
          </w:divBdr>
        </w:div>
        <w:div w:id="1765109535">
          <w:marLeft w:val="-450"/>
          <w:marRight w:val="0"/>
          <w:marTop w:val="0"/>
          <w:marBottom w:val="0"/>
          <w:divBdr>
            <w:top w:val="none" w:sz="0" w:space="0" w:color="auto"/>
            <w:left w:val="none" w:sz="0" w:space="0" w:color="auto"/>
            <w:bottom w:val="none" w:sz="0" w:space="0" w:color="auto"/>
            <w:right w:val="none" w:sz="0" w:space="0" w:color="auto"/>
          </w:divBdr>
          <w:divsChild>
            <w:div w:id="1577746120">
              <w:marLeft w:val="0"/>
              <w:marRight w:val="0"/>
              <w:marTop w:val="0"/>
              <w:marBottom w:val="600"/>
              <w:divBdr>
                <w:top w:val="none" w:sz="0" w:space="0" w:color="auto"/>
                <w:left w:val="none" w:sz="0" w:space="0" w:color="auto"/>
                <w:bottom w:val="none" w:sz="0" w:space="0" w:color="auto"/>
                <w:right w:val="none" w:sz="0" w:space="0" w:color="auto"/>
              </w:divBdr>
              <w:divsChild>
                <w:div w:id="835149286">
                  <w:marLeft w:val="0"/>
                  <w:marRight w:val="0"/>
                  <w:marTop w:val="0"/>
                  <w:marBottom w:val="0"/>
                  <w:divBdr>
                    <w:top w:val="none" w:sz="0" w:space="0" w:color="auto"/>
                    <w:left w:val="none" w:sz="0" w:space="0" w:color="auto"/>
                    <w:bottom w:val="none" w:sz="0" w:space="0" w:color="auto"/>
                    <w:right w:val="none" w:sz="0" w:space="0" w:color="auto"/>
                  </w:divBdr>
                  <w:divsChild>
                    <w:div w:id="211755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047304">
              <w:marLeft w:val="0"/>
              <w:marRight w:val="0"/>
              <w:marTop w:val="0"/>
              <w:marBottom w:val="600"/>
              <w:divBdr>
                <w:top w:val="none" w:sz="0" w:space="0" w:color="auto"/>
                <w:left w:val="none" w:sz="0" w:space="0" w:color="auto"/>
                <w:bottom w:val="none" w:sz="0" w:space="0" w:color="auto"/>
                <w:right w:val="none" w:sz="0" w:space="0" w:color="auto"/>
              </w:divBdr>
              <w:divsChild>
                <w:div w:id="307785176">
                  <w:marLeft w:val="0"/>
                  <w:marRight w:val="0"/>
                  <w:marTop w:val="0"/>
                  <w:marBottom w:val="0"/>
                  <w:divBdr>
                    <w:top w:val="none" w:sz="0" w:space="0" w:color="auto"/>
                    <w:left w:val="none" w:sz="0" w:space="0" w:color="auto"/>
                    <w:bottom w:val="none" w:sz="0" w:space="0" w:color="auto"/>
                    <w:right w:val="none" w:sz="0" w:space="0" w:color="auto"/>
                  </w:divBdr>
                  <w:divsChild>
                    <w:div w:id="200307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571331">
              <w:marLeft w:val="0"/>
              <w:marRight w:val="0"/>
              <w:marTop w:val="0"/>
              <w:marBottom w:val="600"/>
              <w:divBdr>
                <w:top w:val="none" w:sz="0" w:space="0" w:color="auto"/>
                <w:left w:val="none" w:sz="0" w:space="0" w:color="auto"/>
                <w:bottom w:val="none" w:sz="0" w:space="0" w:color="auto"/>
                <w:right w:val="none" w:sz="0" w:space="0" w:color="auto"/>
              </w:divBdr>
              <w:divsChild>
                <w:div w:id="931281007">
                  <w:marLeft w:val="0"/>
                  <w:marRight w:val="0"/>
                  <w:marTop w:val="0"/>
                  <w:marBottom w:val="0"/>
                  <w:divBdr>
                    <w:top w:val="none" w:sz="0" w:space="0" w:color="auto"/>
                    <w:left w:val="none" w:sz="0" w:space="0" w:color="auto"/>
                    <w:bottom w:val="none" w:sz="0" w:space="0" w:color="auto"/>
                    <w:right w:val="none" w:sz="0" w:space="0" w:color="auto"/>
                  </w:divBdr>
                  <w:divsChild>
                    <w:div w:id="56210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474502">
      <w:bodyDiv w:val="1"/>
      <w:marLeft w:val="0"/>
      <w:marRight w:val="0"/>
      <w:marTop w:val="0"/>
      <w:marBottom w:val="0"/>
      <w:divBdr>
        <w:top w:val="none" w:sz="0" w:space="0" w:color="auto"/>
        <w:left w:val="none" w:sz="0" w:space="0" w:color="auto"/>
        <w:bottom w:val="none" w:sz="0" w:space="0" w:color="auto"/>
        <w:right w:val="none" w:sz="0" w:space="0" w:color="auto"/>
      </w:divBdr>
      <w:divsChild>
        <w:div w:id="1116675916">
          <w:marLeft w:val="0"/>
          <w:marRight w:val="0"/>
          <w:marTop w:val="0"/>
          <w:marBottom w:val="0"/>
          <w:divBdr>
            <w:top w:val="none" w:sz="0" w:space="0" w:color="auto"/>
            <w:left w:val="none" w:sz="0" w:space="0" w:color="auto"/>
            <w:bottom w:val="none" w:sz="0" w:space="0" w:color="auto"/>
            <w:right w:val="none" w:sz="0" w:space="0" w:color="auto"/>
          </w:divBdr>
        </w:div>
        <w:div w:id="1017658979">
          <w:marLeft w:val="0"/>
          <w:marRight w:val="0"/>
          <w:marTop w:val="0"/>
          <w:marBottom w:val="0"/>
          <w:divBdr>
            <w:top w:val="none" w:sz="0" w:space="0" w:color="auto"/>
            <w:left w:val="none" w:sz="0" w:space="0" w:color="auto"/>
            <w:bottom w:val="none" w:sz="0" w:space="0" w:color="auto"/>
            <w:right w:val="none" w:sz="0" w:space="0" w:color="auto"/>
          </w:divBdr>
        </w:div>
        <w:div w:id="2131513668">
          <w:marLeft w:val="0"/>
          <w:marRight w:val="0"/>
          <w:marTop w:val="0"/>
          <w:marBottom w:val="0"/>
          <w:divBdr>
            <w:top w:val="none" w:sz="0" w:space="0" w:color="auto"/>
            <w:left w:val="none" w:sz="0" w:space="0" w:color="auto"/>
            <w:bottom w:val="none" w:sz="0" w:space="0" w:color="auto"/>
            <w:right w:val="none" w:sz="0" w:space="0" w:color="auto"/>
          </w:divBdr>
        </w:div>
        <w:div w:id="970592928">
          <w:marLeft w:val="0"/>
          <w:marRight w:val="0"/>
          <w:marTop w:val="0"/>
          <w:marBottom w:val="0"/>
          <w:divBdr>
            <w:top w:val="none" w:sz="0" w:space="0" w:color="auto"/>
            <w:left w:val="none" w:sz="0" w:space="0" w:color="auto"/>
            <w:bottom w:val="none" w:sz="0" w:space="0" w:color="auto"/>
            <w:right w:val="none" w:sz="0" w:space="0" w:color="auto"/>
          </w:divBdr>
        </w:div>
        <w:div w:id="237523695">
          <w:marLeft w:val="0"/>
          <w:marRight w:val="0"/>
          <w:marTop w:val="0"/>
          <w:marBottom w:val="0"/>
          <w:divBdr>
            <w:top w:val="none" w:sz="0" w:space="0" w:color="auto"/>
            <w:left w:val="none" w:sz="0" w:space="0" w:color="auto"/>
            <w:bottom w:val="none" w:sz="0" w:space="0" w:color="auto"/>
            <w:right w:val="none" w:sz="0" w:space="0" w:color="auto"/>
          </w:divBdr>
        </w:div>
        <w:div w:id="861359115">
          <w:marLeft w:val="0"/>
          <w:marRight w:val="0"/>
          <w:marTop w:val="0"/>
          <w:marBottom w:val="0"/>
          <w:divBdr>
            <w:top w:val="none" w:sz="0" w:space="0" w:color="auto"/>
            <w:left w:val="none" w:sz="0" w:space="0" w:color="auto"/>
            <w:bottom w:val="none" w:sz="0" w:space="0" w:color="auto"/>
            <w:right w:val="none" w:sz="0" w:space="0" w:color="auto"/>
          </w:divBdr>
        </w:div>
        <w:div w:id="14495419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eader" Target="header1.xml"/><Relationship Id="rId17" Type="http://schemas.openxmlformats.org/officeDocument/2006/relationships/footer" Target="footer3.xml"/><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am.rut@osops.cz" TargetMode="External"/><Relationship Id="rId24"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nadacersj.cz/"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hdana\Documents\PR&#193;CE%20FREELANCE\Otev&#345;enka\OS%20CELEK\Barcamp\TZ\Hlavickovy%20papir_maly.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kuzil_000\Documents\podnik-OTEV&#344;ENOST\OTEV&#344;ETE\OTEV&#344;ENO%20X%20ZAV&#344;ENO\p&#345;ehled%20po%20roc&#237;ch.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uzil_000\Documents\podnik-OTEV&#344;ENOST\OTEV&#344;ETE\OTEV&#344;ENO%20X%20ZAV&#344;ENO\p&#345;ehled%20po%20roc&#237;ch.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cs-CZ"/>
  <c:chart>
    <c:title>
      <c:tx>
        <c:rich>
          <a:bodyPr/>
          <a:lstStyle/>
          <a:p>
            <a:pPr>
              <a:defRPr sz="1200" b="1" i="0" u="none" strike="noStrike" baseline="0">
                <a:solidFill>
                  <a:srgbClr val="000000"/>
                </a:solidFill>
                <a:latin typeface="Arial"/>
                <a:ea typeface="Arial"/>
                <a:cs typeface="Arial"/>
              </a:defRPr>
            </a:pPr>
            <a:r>
              <a:rPr lang="cs-CZ"/>
              <a:t>Počty podaných a zařazených nominací</a:t>
            </a:r>
          </a:p>
        </c:rich>
      </c:tx>
      <c:layout>
        <c:manualLayout>
          <c:xMode val="edge"/>
          <c:yMode val="edge"/>
          <c:x val="0.18875542749399177"/>
          <c:y val="3.1325368393615945E-2"/>
        </c:manualLayout>
      </c:layout>
      <c:spPr>
        <a:noFill/>
        <a:ln w="25400">
          <a:noFill/>
        </a:ln>
      </c:spPr>
    </c:title>
    <c:plotArea>
      <c:layout>
        <c:manualLayout>
          <c:layoutTarget val="inner"/>
          <c:xMode val="edge"/>
          <c:yMode val="edge"/>
          <c:x val="9.6385731178093584E-2"/>
          <c:y val="0.238554497546237"/>
          <c:w val="0.87550372486768291"/>
          <c:h val="0.65301281651545684"/>
        </c:manualLayout>
      </c:layout>
      <c:lineChart>
        <c:grouping val="standard"/>
        <c:ser>
          <c:idx val="0"/>
          <c:order val="0"/>
          <c:tx>
            <c:strRef>
              <c:f>List1!$G$3</c:f>
              <c:strCache>
                <c:ptCount val="1"/>
                <c:pt idx="0">
                  <c:v>PODÁNO</c:v>
                </c:pt>
              </c:strCache>
            </c:strRef>
          </c:tx>
          <c:spPr>
            <a:ln w="38100">
              <a:solidFill>
                <a:srgbClr val="000080"/>
              </a:solidFill>
              <a:prstDash val="solid"/>
            </a:ln>
          </c:spPr>
          <c:marker>
            <c:symbol val="circle"/>
            <c:size val="15"/>
            <c:spPr>
              <a:solidFill>
                <a:srgbClr val="000080"/>
              </a:solidFill>
              <a:ln>
                <a:solidFill>
                  <a:srgbClr val="000080"/>
                </a:solidFill>
                <a:prstDash val="solid"/>
              </a:ln>
            </c:spPr>
          </c:marker>
          <c:dLbls>
            <c:dLbl>
              <c:idx val="7"/>
              <c:tx>
                <c:rich>
                  <a:bodyPr/>
                  <a:lstStyle/>
                  <a:p>
                    <a:pPr>
                      <a:defRPr sz="1300" b="1" i="0" u="none" strike="noStrike" baseline="0">
                        <a:solidFill>
                          <a:srgbClr val="0000FF"/>
                        </a:solidFill>
                        <a:latin typeface="Arial"/>
                        <a:ea typeface="Arial"/>
                        <a:cs typeface="Arial"/>
                      </a:defRPr>
                    </a:pPr>
                    <a:r>
                      <a:rPr lang="en-US" sz="1300" baseline="0"/>
                      <a:t>94</a:t>
                    </a:r>
                  </a:p>
                </c:rich>
              </c:tx>
              <c:spPr>
                <a:noFill/>
                <a:ln w="25400">
                  <a:noFill/>
                </a:ln>
              </c:spPr>
              <c:dLblPos val="t"/>
              <c:extLst>
                <c:ext xmlns:c15="http://schemas.microsoft.com/office/drawing/2012/chart" uri="{CE6537A1-D6FC-4f65-9D91-7224C49458BB}"/>
              </c:extLst>
            </c:dLbl>
            <c:dLbl>
              <c:idx val="8"/>
              <c:tx>
                <c:rich>
                  <a:bodyPr/>
                  <a:lstStyle/>
                  <a:p>
                    <a:pPr>
                      <a:defRPr sz="1300" b="1" i="0" u="none" strike="noStrike" baseline="0">
                        <a:solidFill>
                          <a:srgbClr val="0000FF"/>
                        </a:solidFill>
                        <a:latin typeface="Arial"/>
                        <a:ea typeface="Arial"/>
                        <a:cs typeface="Arial"/>
                      </a:defRPr>
                    </a:pPr>
                    <a:r>
                      <a:rPr lang="en-US" sz="1300" baseline="0"/>
                      <a:t>127</a:t>
                    </a:r>
                  </a:p>
                </c:rich>
              </c:tx>
              <c:spPr>
                <a:noFill/>
                <a:ln w="25400">
                  <a:noFill/>
                </a:ln>
              </c:spPr>
              <c:dLblPos val="t"/>
              <c:extLst>
                <c:ext xmlns:c15="http://schemas.microsoft.com/office/drawing/2012/chart" uri="{CE6537A1-D6FC-4f65-9D91-7224C49458BB}"/>
              </c:extLst>
            </c:dLbl>
            <c:dLbl>
              <c:idx val="9"/>
              <c:spPr>
                <a:noFill/>
                <a:ln w="25400">
                  <a:noFill/>
                </a:ln>
              </c:spPr>
              <c:txPr>
                <a:bodyPr/>
                <a:lstStyle/>
                <a:p>
                  <a:pPr>
                    <a:defRPr sz="1300" b="1" i="0" u="none" strike="noStrike" baseline="0">
                      <a:solidFill>
                        <a:srgbClr val="0000FF"/>
                      </a:solidFill>
                      <a:latin typeface="Arial"/>
                      <a:ea typeface="Arial"/>
                      <a:cs typeface="Arial"/>
                    </a:defRPr>
                  </a:pPr>
                  <a:endParaRPr lang="cs-CZ"/>
                </a:p>
              </c:txPr>
            </c:dLbl>
            <c:spPr>
              <a:noFill/>
              <a:ln w="25400">
                <a:noFill/>
              </a:ln>
            </c:spPr>
            <c:txPr>
              <a:bodyPr wrap="square" lIns="38100" tIns="19050" rIns="38100" bIns="19050" anchor="ctr">
                <a:spAutoFit/>
              </a:bodyPr>
              <a:lstStyle/>
              <a:p>
                <a:pPr>
                  <a:defRPr sz="1300" b="1" i="0" u="none" strike="noStrike" baseline="0">
                    <a:solidFill>
                      <a:srgbClr val="0000FF"/>
                    </a:solidFill>
                    <a:latin typeface="Arial"/>
                    <a:ea typeface="Arial"/>
                    <a:cs typeface="Arial"/>
                  </a:defRPr>
                </a:pPr>
                <a:endParaRPr lang="cs-CZ"/>
              </a:p>
            </c:txPr>
            <c:dLblPos val="t"/>
            <c:showVal val="1"/>
            <c:extLst>
              <c:ext xmlns:c15="http://schemas.microsoft.com/office/drawing/2012/chart" uri="{CE6537A1-D6FC-4f65-9D91-7224C49458BB}">
                <c15:showLeaderLines val="0"/>
              </c:ext>
            </c:extLst>
          </c:dLbls>
          <c:cat>
            <c:numRef>
              <c:f>List1!$A$4:$A$17</c:f>
              <c:numCache>
                <c:formatCode>General</c:formatCode>
                <c:ptCount val="14"/>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numCache>
            </c:numRef>
          </c:cat>
          <c:val>
            <c:numRef>
              <c:f>List1!$G$4:$G$17</c:f>
              <c:numCache>
                <c:formatCode>General</c:formatCode>
                <c:ptCount val="14"/>
                <c:pt idx="0">
                  <c:v>44</c:v>
                </c:pt>
                <c:pt idx="1">
                  <c:v>44</c:v>
                </c:pt>
                <c:pt idx="2">
                  <c:v>33</c:v>
                </c:pt>
                <c:pt idx="3">
                  <c:v>42</c:v>
                </c:pt>
                <c:pt idx="4">
                  <c:v>45</c:v>
                </c:pt>
                <c:pt idx="5">
                  <c:v>57</c:v>
                </c:pt>
                <c:pt idx="6">
                  <c:v>55</c:v>
                </c:pt>
                <c:pt idx="7">
                  <c:v>94</c:v>
                </c:pt>
                <c:pt idx="8">
                  <c:v>127</c:v>
                </c:pt>
                <c:pt idx="9">
                  <c:v>132</c:v>
                </c:pt>
                <c:pt idx="10">
                  <c:v>127</c:v>
                </c:pt>
                <c:pt idx="11">
                  <c:v>142</c:v>
                </c:pt>
                <c:pt idx="12">
                  <c:v>138</c:v>
                </c:pt>
                <c:pt idx="13">
                  <c:v>162</c:v>
                </c:pt>
              </c:numCache>
            </c:numRef>
          </c:val>
        </c:ser>
        <c:ser>
          <c:idx val="1"/>
          <c:order val="1"/>
          <c:tx>
            <c:strRef>
              <c:f>List1!$F$3</c:f>
              <c:strCache>
                <c:ptCount val="1"/>
                <c:pt idx="0">
                  <c:v>ZAŘAZENO</c:v>
                </c:pt>
              </c:strCache>
            </c:strRef>
          </c:tx>
          <c:spPr>
            <a:ln w="38100">
              <a:solidFill>
                <a:srgbClr val="FF00FF">
                  <a:alpha val="99000"/>
                </a:srgbClr>
              </a:solidFill>
              <a:prstDash val="solid"/>
            </a:ln>
          </c:spPr>
          <c:marker>
            <c:symbol val="circle"/>
            <c:size val="10"/>
            <c:spPr>
              <a:solidFill>
                <a:srgbClr val="FF00FF"/>
              </a:solidFill>
              <a:ln>
                <a:solidFill>
                  <a:srgbClr val="FF00FF"/>
                </a:solidFill>
                <a:prstDash val="solid"/>
              </a:ln>
            </c:spPr>
          </c:marker>
          <c:dLbls>
            <c:dLbl>
              <c:idx val="9"/>
              <c:spPr>
                <a:noFill/>
                <a:ln w="25400">
                  <a:noFill/>
                </a:ln>
              </c:spPr>
              <c:txPr>
                <a:bodyPr/>
                <a:lstStyle/>
                <a:p>
                  <a:pPr>
                    <a:defRPr sz="1200" b="1" i="0" u="none" strike="noStrike" baseline="0">
                      <a:solidFill>
                        <a:srgbClr val="FF0000"/>
                      </a:solidFill>
                      <a:latin typeface="Arial"/>
                      <a:ea typeface="Arial"/>
                      <a:cs typeface="Arial"/>
                    </a:defRPr>
                  </a:pPr>
                  <a:endParaRPr lang="cs-CZ"/>
                </a:p>
              </c:txPr>
            </c:dLbl>
            <c:dLbl>
              <c:idx val="11"/>
              <c:tx>
                <c:rich>
                  <a:bodyPr/>
                  <a:lstStyle/>
                  <a:p>
                    <a:pPr>
                      <a:defRPr sz="1200" b="1" i="0" u="none" strike="noStrike" baseline="0">
                        <a:solidFill>
                          <a:srgbClr val="FF0000"/>
                        </a:solidFill>
                        <a:latin typeface="Arial"/>
                        <a:ea typeface="Arial"/>
                        <a:cs typeface="Arial"/>
                      </a:defRPr>
                    </a:pPr>
                    <a:r>
                      <a:rPr lang="en-US"/>
                      <a:t>95</a:t>
                    </a:r>
                  </a:p>
                </c:rich>
              </c:tx>
              <c:spPr>
                <a:noFill/>
                <a:ln w="25400">
                  <a:noFill/>
                </a:ln>
              </c:spPr>
              <c:dLblPos val="b"/>
              <c:extLst>
                <c:ext xmlns:c15="http://schemas.microsoft.com/office/drawing/2012/chart" uri="{CE6537A1-D6FC-4f65-9D91-7224C49458BB}"/>
              </c:extLst>
            </c:dLbl>
            <c:spPr>
              <a:noFill/>
              <a:ln w="25400">
                <a:noFill/>
              </a:ln>
            </c:spPr>
            <c:txPr>
              <a:bodyPr wrap="square" lIns="38100" tIns="19050" rIns="38100" bIns="19050" anchor="ctr">
                <a:spAutoFit/>
              </a:bodyPr>
              <a:lstStyle/>
              <a:p>
                <a:pPr>
                  <a:defRPr sz="1200" b="1" i="0" u="none" strike="noStrike" baseline="0">
                    <a:solidFill>
                      <a:srgbClr val="FF0000"/>
                    </a:solidFill>
                    <a:latin typeface="Arial"/>
                    <a:ea typeface="Arial"/>
                    <a:cs typeface="Arial"/>
                  </a:defRPr>
                </a:pPr>
                <a:endParaRPr lang="cs-CZ"/>
              </a:p>
            </c:txPr>
            <c:dLblPos val="b"/>
            <c:showVal val="1"/>
            <c:extLst>
              <c:ext xmlns:c15="http://schemas.microsoft.com/office/drawing/2012/chart" uri="{CE6537A1-D6FC-4f65-9D91-7224C49458BB}">
                <c15:showLeaderLines val="0"/>
              </c:ext>
            </c:extLst>
          </c:dLbls>
          <c:cat>
            <c:numRef>
              <c:f>List1!$A$4:$A$17</c:f>
              <c:numCache>
                <c:formatCode>General</c:formatCode>
                <c:ptCount val="14"/>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numCache>
            </c:numRef>
          </c:cat>
          <c:val>
            <c:numRef>
              <c:f>List1!$F$4:$F$17</c:f>
              <c:numCache>
                <c:formatCode>General</c:formatCode>
                <c:ptCount val="14"/>
                <c:pt idx="0">
                  <c:v>43</c:v>
                </c:pt>
                <c:pt idx="1">
                  <c:v>42</c:v>
                </c:pt>
                <c:pt idx="2">
                  <c:v>32</c:v>
                </c:pt>
                <c:pt idx="3">
                  <c:v>35</c:v>
                </c:pt>
                <c:pt idx="4">
                  <c:v>39</c:v>
                </c:pt>
                <c:pt idx="5">
                  <c:v>52</c:v>
                </c:pt>
                <c:pt idx="6">
                  <c:v>50</c:v>
                </c:pt>
                <c:pt idx="7">
                  <c:v>58</c:v>
                </c:pt>
                <c:pt idx="8">
                  <c:v>72</c:v>
                </c:pt>
                <c:pt idx="9">
                  <c:v>83</c:v>
                </c:pt>
                <c:pt idx="10">
                  <c:v>82</c:v>
                </c:pt>
                <c:pt idx="11">
                  <c:v>95</c:v>
                </c:pt>
                <c:pt idx="12">
                  <c:v>80</c:v>
                </c:pt>
                <c:pt idx="13">
                  <c:v>95</c:v>
                </c:pt>
              </c:numCache>
            </c:numRef>
          </c:val>
        </c:ser>
        <c:marker val="1"/>
        <c:axId val="105559552"/>
        <c:axId val="105575552"/>
      </c:lineChart>
      <c:catAx>
        <c:axId val="105559552"/>
        <c:scaling>
          <c:orientation val="minMax"/>
        </c:scaling>
        <c:axPos val="b"/>
        <c:numFmt formatCode="General" sourceLinked="1"/>
        <c:tickLblPos val="nextTo"/>
        <c:spPr>
          <a:ln w="3175">
            <a:solidFill>
              <a:srgbClr val="000000"/>
            </a:solidFill>
            <a:prstDash val="solid"/>
          </a:ln>
        </c:spPr>
        <c:txPr>
          <a:bodyPr rot="-5400000" vert="horz"/>
          <a:lstStyle/>
          <a:p>
            <a:pPr>
              <a:defRPr sz="1000" b="1" i="0" u="none" strike="noStrike" baseline="0">
                <a:solidFill>
                  <a:srgbClr val="000000"/>
                </a:solidFill>
                <a:latin typeface="Arial"/>
                <a:ea typeface="Arial"/>
                <a:cs typeface="Arial"/>
              </a:defRPr>
            </a:pPr>
            <a:endParaRPr lang="cs-CZ"/>
          </a:p>
        </c:txPr>
        <c:crossAx val="105575552"/>
        <c:crosses val="autoZero"/>
        <c:auto val="1"/>
        <c:lblAlgn val="ctr"/>
        <c:lblOffset val="100"/>
        <c:tickLblSkip val="1"/>
        <c:tickMarkSkip val="1"/>
      </c:catAx>
      <c:valAx>
        <c:axId val="105575552"/>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cs-CZ"/>
          </a:p>
        </c:txPr>
        <c:crossAx val="105559552"/>
        <c:crosses val="autoZero"/>
        <c:crossBetween val="between"/>
      </c:valAx>
      <c:spPr>
        <a:solidFill>
          <a:srgbClr val="C0C0C0"/>
        </a:solidFill>
        <a:ln w="12700">
          <a:solidFill>
            <a:srgbClr val="808080"/>
          </a:solidFill>
          <a:prstDash val="solid"/>
        </a:ln>
      </c:spPr>
    </c:plotArea>
    <c:legend>
      <c:legendPos val="r"/>
      <c:layout>
        <c:manualLayout>
          <c:xMode val="edge"/>
          <c:yMode val="edge"/>
          <c:x val="0.31782645981133573"/>
          <c:y val="0.11100293428468896"/>
          <c:w val="0.45701696941347703"/>
          <c:h val="7.0682839010019829E-2"/>
        </c:manualLayout>
      </c:layout>
      <c:spPr>
        <a:solidFill>
          <a:srgbClr val="FFFFFF"/>
        </a:solidFill>
        <a:ln w="3175">
          <a:solidFill>
            <a:srgbClr val="000000"/>
          </a:solidFill>
          <a:prstDash val="solid"/>
        </a:ln>
      </c:spPr>
      <c:txPr>
        <a:bodyPr/>
        <a:lstStyle/>
        <a:p>
          <a:pPr>
            <a:defRPr sz="845" b="0" i="0" u="none" strike="noStrike" baseline="0">
              <a:solidFill>
                <a:srgbClr val="000000"/>
              </a:solidFill>
              <a:latin typeface="Arial"/>
              <a:ea typeface="Arial"/>
              <a:cs typeface="Arial"/>
            </a:defRPr>
          </a:pPr>
          <a:endParaRPr lang="cs-CZ"/>
        </a:p>
      </c:txPr>
    </c:legend>
    <c:plotVisOnly val="1"/>
    <c:dispBlanksAs val="gap"/>
  </c:chart>
  <c:spPr>
    <a:solidFill>
      <a:srgbClr val="FFFFFF"/>
    </a:solidFill>
    <a:ln w="3175">
      <a:solidFill>
        <a:srgbClr val="000000">
          <a:alpha val="95000"/>
        </a:srgbClr>
      </a:solidFill>
      <a:prstDash val="solid"/>
    </a:ln>
  </c:spPr>
  <c:txPr>
    <a:bodyPr/>
    <a:lstStyle/>
    <a:p>
      <a:pPr>
        <a:defRPr sz="1000" b="0" i="0" u="none" strike="noStrike" baseline="0">
          <a:solidFill>
            <a:srgbClr val="000000"/>
          </a:solidFill>
          <a:latin typeface="Arial"/>
          <a:ea typeface="Arial"/>
          <a:cs typeface="Arial"/>
        </a:defRPr>
      </a:pPr>
      <a:endParaRPr lang="cs-CZ"/>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cs-CZ"/>
  <c:chart>
    <c:title>
      <c:tx>
        <c:rich>
          <a:bodyPr/>
          <a:lstStyle/>
          <a:p>
            <a:pPr>
              <a:defRPr sz="1400" b="1" i="0" u="none" strike="noStrike" baseline="0">
                <a:solidFill>
                  <a:srgbClr val="000000"/>
                </a:solidFill>
                <a:latin typeface="Arial"/>
                <a:ea typeface="Arial"/>
                <a:cs typeface="Arial"/>
              </a:defRPr>
            </a:pPr>
            <a:r>
              <a:rPr lang="cs-CZ"/>
              <a:t>Počty zařazených nominací O a Z</a:t>
            </a:r>
          </a:p>
        </c:rich>
      </c:tx>
      <c:layout>
        <c:manualLayout>
          <c:xMode val="edge"/>
          <c:yMode val="edge"/>
          <c:x val="0.11223303488273642"/>
          <c:y val="4.1920093321668107E-2"/>
        </c:manualLayout>
      </c:layout>
      <c:spPr>
        <a:noFill/>
        <a:ln w="25400">
          <a:noFill/>
        </a:ln>
      </c:spPr>
    </c:title>
    <c:plotArea>
      <c:layout>
        <c:manualLayout>
          <c:layoutTarget val="inner"/>
          <c:xMode val="edge"/>
          <c:yMode val="edge"/>
          <c:x val="5.030674846625767E-2"/>
          <c:y val="0.18453865336658354"/>
          <c:w val="0.93251533742331283"/>
          <c:h val="0.58603491271820451"/>
        </c:manualLayout>
      </c:layout>
      <c:lineChart>
        <c:grouping val="standard"/>
        <c:ser>
          <c:idx val="0"/>
          <c:order val="0"/>
          <c:tx>
            <c:strRef>
              <c:f>List1!$B$2</c:f>
              <c:strCache>
                <c:ptCount val="1"/>
                <c:pt idx="0">
                  <c:v>OTEVŘENO</c:v>
                </c:pt>
              </c:strCache>
            </c:strRef>
          </c:tx>
          <c:spPr>
            <a:ln w="38100">
              <a:solidFill>
                <a:srgbClr val="FF6600"/>
              </a:solidFill>
              <a:prstDash val="solid"/>
            </a:ln>
          </c:spPr>
          <c:marker>
            <c:symbol val="square"/>
            <c:size val="11"/>
            <c:spPr>
              <a:solidFill>
                <a:srgbClr val="FFFFFF"/>
              </a:solidFill>
              <a:ln>
                <a:solidFill>
                  <a:srgbClr val="FF6600"/>
                </a:solidFill>
                <a:prstDash val="solid"/>
              </a:ln>
              <a:effectLst>
                <a:outerShdw dist="35921" dir="2700000" algn="br">
                  <a:srgbClr val="000000"/>
                </a:outerShdw>
              </a:effectLst>
            </c:spPr>
          </c:marker>
          <c:dLbls>
            <c:spPr>
              <a:noFill/>
              <a:ln w="25400">
                <a:noFill/>
              </a:ln>
            </c:spPr>
            <c:txPr>
              <a:bodyPr wrap="square" lIns="38100" tIns="19050" rIns="38100" bIns="19050" anchor="ctr">
                <a:spAutoFit/>
              </a:bodyPr>
              <a:lstStyle/>
              <a:p>
                <a:pPr>
                  <a:defRPr sz="1400" b="1" i="0" u="none" strike="noStrike" baseline="0">
                    <a:solidFill>
                      <a:srgbClr val="000000"/>
                    </a:solidFill>
                    <a:latin typeface="Arial"/>
                    <a:ea typeface="Arial"/>
                    <a:cs typeface="Arial"/>
                  </a:defRPr>
                </a:pPr>
                <a:endParaRPr lang="cs-CZ"/>
              </a:p>
            </c:txPr>
            <c:dLblPos val="b"/>
            <c:showVal val="1"/>
            <c:extLst>
              <c:ext xmlns:c15="http://schemas.microsoft.com/office/drawing/2012/chart" uri="{CE6537A1-D6FC-4f65-9D91-7224C49458BB}">
                <c15:showLeaderLines val="0"/>
              </c:ext>
            </c:extLst>
          </c:dLbls>
          <c:cat>
            <c:numRef>
              <c:f>List1!$A$4:$A$17</c:f>
              <c:numCache>
                <c:formatCode>General</c:formatCode>
                <c:ptCount val="14"/>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numCache>
            </c:numRef>
          </c:cat>
          <c:val>
            <c:numRef>
              <c:f>List1!$C$4:$C$17</c:f>
              <c:numCache>
                <c:formatCode>General</c:formatCode>
                <c:ptCount val="14"/>
                <c:pt idx="0">
                  <c:v>14</c:v>
                </c:pt>
                <c:pt idx="1">
                  <c:v>15</c:v>
                </c:pt>
                <c:pt idx="2">
                  <c:v>14</c:v>
                </c:pt>
                <c:pt idx="3">
                  <c:v>11</c:v>
                </c:pt>
                <c:pt idx="4">
                  <c:v>13</c:v>
                </c:pt>
                <c:pt idx="5">
                  <c:v>12</c:v>
                </c:pt>
                <c:pt idx="6">
                  <c:v>9</c:v>
                </c:pt>
                <c:pt idx="7">
                  <c:v>12</c:v>
                </c:pt>
                <c:pt idx="8">
                  <c:v>21</c:v>
                </c:pt>
                <c:pt idx="9">
                  <c:v>17</c:v>
                </c:pt>
                <c:pt idx="10">
                  <c:v>26</c:v>
                </c:pt>
                <c:pt idx="11">
                  <c:v>27</c:v>
                </c:pt>
                <c:pt idx="12">
                  <c:v>28</c:v>
                </c:pt>
                <c:pt idx="13">
                  <c:v>37</c:v>
                </c:pt>
              </c:numCache>
            </c:numRef>
          </c:val>
        </c:ser>
        <c:ser>
          <c:idx val="1"/>
          <c:order val="1"/>
          <c:tx>
            <c:strRef>
              <c:f>List1!$D$2</c:f>
              <c:strCache>
                <c:ptCount val="1"/>
                <c:pt idx="0">
                  <c:v>ZAVŘENO</c:v>
                </c:pt>
              </c:strCache>
            </c:strRef>
          </c:tx>
          <c:spPr>
            <a:ln w="38100">
              <a:solidFill>
                <a:schemeClr val="tx1"/>
              </a:solidFill>
              <a:prstDash val="solid"/>
            </a:ln>
          </c:spPr>
          <c:marker>
            <c:symbol val="square"/>
            <c:size val="10"/>
            <c:spPr>
              <a:solidFill>
                <a:srgbClr val="FF0000"/>
              </a:solidFill>
              <a:ln>
                <a:solidFill>
                  <a:srgbClr val="FF0000"/>
                </a:solidFill>
                <a:prstDash val="solid"/>
              </a:ln>
              <a:effectLst>
                <a:outerShdw dist="35921" dir="2700000" algn="br">
                  <a:srgbClr val="000000"/>
                </a:outerShdw>
              </a:effectLst>
            </c:spPr>
          </c:marker>
          <c:dLbls>
            <c:spPr>
              <a:noFill/>
              <a:ln w="25400">
                <a:noFill/>
              </a:ln>
            </c:spPr>
            <c:txPr>
              <a:bodyPr wrap="square" lIns="38100" tIns="19050" rIns="38100" bIns="19050" anchor="ctr">
                <a:spAutoFit/>
              </a:bodyPr>
              <a:lstStyle/>
              <a:p>
                <a:pPr>
                  <a:defRPr sz="1400" b="1" i="0" u="none" strike="noStrike" baseline="0">
                    <a:solidFill>
                      <a:srgbClr val="000000"/>
                    </a:solidFill>
                    <a:latin typeface="Arial"/>
                    <a:ea typeface="Arial"/>
                    <a:cs typeface="Arial"/>
                  </a:defRPr>
                </a:pPr>
                <a:endParaRPr lang="cs-CZ"/>
              </a:p>
            </c:txPr>
            <c:dLblPos val="t"/>
            <c:showVal val="1"/>
            <c:extLst>
              <c:ext xmlns:c15="http://schemas.microsoft.com/office/drawing/2012/chart" uri="{CE6537A1-D6FC-4f65-9D91-7224C49458BB}">
                <c15:showLeaderLines val="0"/>
              </c:ext>
            </c:extLst>
          </c:dLbls>
          <c:cat>
            <c:numRef>
              <c:f>List1!$A$4:$A$17</c:f>
              <c:numCache>
                <c:formatCode>General</c:formatCode>
                <c:ptCount val="14"/>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numCache>
            </c:numRef>
          </c:cat>
          <c:val>
            <c:numRef>
              <c:f>List1!$E$4:$E$17</c:f>
              <c:numCache>
                <c:formatCode>General</c:formatCode>
                <c:ptCount val="14"/>
                <c:pt idx="0">
                  <c:v>29</c:v>
                </c:pt>
                <c:pt idx="1">
                  <c:v>27</c:v>
                </c:pt>
                <c:pt idx="2">
                  <c:v>18</c:v>
                </c:pt>
                <c:pt idx="3">
                  <c:v>24</c:v>
                </c:pt>
                <c:pt idx="4">
                  <c:v>26</c:v>
                </c:pt>
                <c:pt idx="5">
                  <c:v>40</c:v>
                </c:pt>
                <c:pt idx="6">
                  <c:v>41</c:v>
                </c:pt>
                <c:pt idx="7">
                  <c:v>46</c:v>
                </c:pt>
                <c:pt idx="8">
                  <c:v>51</c:v>
                </c:pt>
                <c:pt idx="9">
                  <c:v>66</c:v>
                </c:pt>
                <c:pt idx="10">
                  <c:v>56</c:v>
                </c:pt>
                <c:pt idx="11">
                  <c:v>68</c:v>
                </c:pt>
                <c:pt idx="12">
                  <c:v>52</c:v>
                </c:pt>
                <c:pt idx="13">
                  <c:v>58</c:v>
                </c:pt>
              </c:numCache>
            </c:numRef>
          </c:val>
        </c:ser>
        <c:marker val="1"/>
        <c:axId val="117588352"/>
        <c:axId val="117611904"/>
      </c:lineChart>
      <c:catAx>
        <c:axId val="117588352"/>
        <c:scaling>
          <c:orientation val="minMax"/>
        </c:scaling>
        <c:axPos val="b"/>
        <c:numFmt formatCode="General" sourceLinked="1"/>
        <c:tickLblPos val="nextTo"/>
        <c:spPr>
          <a:ln w="3175">
            <a:solidFill>
              <a:srgbClr val="000000"/>
            </a:solidFill>
            <a:prstDash val="solid"/>
          </a:ln>
        </c:spPr>
        <c:txPr>
          <a:bodyPr rot="-5400000" vert="horz"/>
          <a:lstStyle/>
          <a:p>
            <a:pPr>
              <a:defRPr sz="1400" b="1" i="0" u="none" strike="noStrike" baseline="0">
                <a:solidFill>
                  <a:srgbClr val="000000"/>
                </a:solidFill>
                <a:latin typeface="Arial"/>
                <a:ea typeface="Arial"/>
                <a:cs typeface="Arial"/>
              </a:defRPr>
            </a:pPr>
            <a:endParaRPr lang="cs-CZ"/>
          </a:p>
        </c:txPr>
        <c:crossAx val="117611904"/>
        <c:crosses val="autoZero"/>
        <c:auto val="1"/>
        <c:lblAlgn val="ctr"/>
        <c:lblOffset val="100"/>
        <c:tickLblSkip val="1"/>
        <c:tickMarkSkip val="1"/>
      </c:catAx>
      <c:valAx>
        <c:axId val="117611904"/>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cs-CZ"/>
          </a:p>
        </c:txPr>
        <c:crossAx val="117588352"/>
        <c:crosses val="autoZero"/>
        <c:crossBetween val="between"/>
      </c:valAx>
      <c:spPr>
        <a:solidFill>
          <a:srgbClr val="C0C0C0"/>
        </a:solidFill>
        <a:ln w="12700">
          <a:solidFill>
            <a:srgbClr val="808080"/>
          </a:solidFill>
          <a:prstDash val="solid"/>
        </a:ln>
      </c:spPr>
    </c:plotArea>
    <c:legend>
      <c:legendPos val="r"/>
      <c:layout>
        <c:manualLayout>
          <c:xMode val="edge"/>
          <c:yMode val="edge"/>
          <c:x val="0.17743814029294744"/>
          <c:y val="9.9324584426946666E-2"/>
          <c:w val="0.66732653881974435"/>
          <c:h val="7.6409997443906252E-2"/>
        </c:manualLayout>
      </c:layout>
    </c:legend>
    <c:plotVisOnly val="1"/>
    <c:dispBlanksAs val="gap"/>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cs-CZ"/>
    </a:p>
  </c:txPr>
  <c:externalData r:id="rId1"/>
</c:chartSpace>
</file>

<file path=word/theme/theme1.xml><?xml version="1.0" encoding="utf-8"?>
<a:theme xmlns:a="http://schemas.openxmlformats.org/drawingml/2006/main" name="Office Theme">
  <a:themeElements>
    <a:clrScheme name="Custom 3">
      <a:dk1>
        <a:srgbClr val="26967E"/>
      </a:dk1>
      <a:lt1>
        <a:srgbClr val="FFFFFF"/>
      </a:lt1>
      <a:dk2>
        <a:srgbClr val="00B5AC"/>
      </a:dk2>
      <a:lt2>
        <a:srgbClr val="EEECE1"/>
      </a:lt2>
      <a:accent1>
        <a:srgbClr val="E7C452"/>
      </a:accent1>
      <a:accent2>
        <a:srgbClr val="EFD789"/>
      </a:accent2>
      <a:accent3>
        <a:srgbClr val="D5A91D"/>
      </a:accent3>
      <a:accent4>
        <a:srgbClr val="E7C452"/>
      </a:accent4>
      <a:accent5>
        <a:srgbClr val="EFD789"/>
      </a:accent5>
      <a:accent6>
        <a:srgbClr val="D5A91D"/>
      </a:accent6>
      <a:hlink>
        <a:srgbClr val="145043"/>
      </a:hlink>
      <a:folHlink>
        <a:srgbClr val="00EEE3"/>
      </a:folHlink>
    </a:clrScheme>
    <a:fontScheme name="Otevrena spolecnost 2">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Hlavickovy papir_maly</Template>
  <TotalTime>2</TotalTime>
  <Pages>3</Pages>
  <Words>634</Words>
  <Characters>3743</Characters>
  <Application>Microsoft Office Word</Application>
  <DocSecurity>0</DocSecurity>
  <Lines>31</Lines>
  <Paragraphs>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Bohdana Rambouskova</dc:creator>
  <cp:lastModifiedBy>Adam Rut</cp:lastModifiedBy>
  <cp:revision>2</cp:revision>
  <cp:lastPrinted>2016-06-01T09:24:00Z</cp:lastPrinted>
  <dcterms:created xsi:type="dcterms:W3CDTF">2016-09-01T14:55:00Z</dcterms:created>
  <dcterms:modified xsi:type="dcterms:W3CDTF">2016-09-01T14:55:00Z</dcterms:modified>
</cp:coreProperties>
</file>