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99A" w:rsidRDefault="00BD699A" w:rsidP="005925BF">
      <w:pPr>
        <w:rPr>
          <w:lang w:val="en-US"/>
        </w:rPr>
      </w:pPr>
    </w:p>
    <w:p w:rsidR="006E7C27" w:rsidRDefault="006E7C27" w:rsidP="009D654A">
      <w:pPr>
        <w:pStyle w:val="Nzev"/>
        <w:rPr>
          <w:color w:val="FFFFFF" w:themeColor="background1"/>
          <w:sz w:val="40"/>
          <w:szCs w:val="40"/>
          <w:lang w:val="en-US"/>
        </w:rPr>
      </w:pPr>
    </w:p>
    <w:p w:rsidR="006E7C27" w:rsidRDefault="006E7C27" w:rsidP="009D654A">
      <w:pPr>
        <w:pStyle w:val="Nzev"/>
        <w:rPr>
          <w:color w:val="FFFFFF" w:themeColor="background1"/>
          <w:sz w:val="40"/>
          <w:szCs w:val="40"/>
          <w:lang w:val="en-US"/>
        </w:rPr>
      </w:pPr>
    </w:p>
    <w:p w:rsidR="006E7C27" w:rsidRDefault="006E7C27" w:rsidP="009D654A">
      <w:pPr>
        <w:pStyle w:val="Nzev"/>
        <w:rPr>
          <w:color w:val="FFFFFF" w:themeColor="background1"/>
          <w:sz w:val="40"/>
          <w:szCs w:val="40"/>
          <w:lang w:val="en-US"/>
        </w:rPr>
      </w:pPr>
    </w:p>
    <w:p w:rsidR="006E7C27" w:rsidRDefault="006E7C27" w:rsidP="009D654A">
      <w:pPr>
        <w:pStyle w:val="Nzev"/>
        <w:rPr>
          <w:color w:val="FFFFFF" w:themeColor="background1"/>
          <w:sz w:val="40"/>
          <w:szCs w:val="40"/>
          <w:lang w:val="en-US"/>
        </w:rPr>
      </w:pPr>
    </w:p>
    <w:p w:rsidR="006E7C27" w:rsidRDefault="006E7C27" w:rsidP="009D654A">
      <w:pPr>
        <w:pStyle w:val="Nzev"/>
        <w:rPr>
          <w:color w:val="FFFFFF" w:themeColor="background1"/>
          <w:sz w:val="40"/>
          <w:szCs w:val="40"/>
          <w:lang w:val="en-US"/>
        </w:rPr>
      </w:pPr>
    </w:p>
    <w:p w:rsidR="00F11B4F" w:rsidRPr="00850CD3" w:rsidRDefault="009D654A" w:rsidP="009D654A">
      <w:pPr>
        <w:pStyle w:val="Nzev"/>
        <w:rPr>
          <w:color w:val="FFFFFF" w:themeColor="background1"/>
          <w:sz w:val="56"/>
          <w:szCs w:val="56"/>
          <w:lang w:val="en-US"/>
        </w:rPr>
      </w:pPr>
      <w:proofErr w:type="spellStart"/>
      <w:r w:rsidRPr="00850CD3">
        <w:rPr>
          <w:color w:val="FFFFFF" w:themeColor="background1"/>
          <w:sz w:val="56"/>
          <w:szCs w:val="56"/>
          <w:lang w:val="en-US"/>
        </w:rPr>
        <w:t>Právo</w:t>
      </w:r>
      <w:proofErr w:type="spellEnd"/>
      <w:r w:rsidRPr="00850CD3">
        <w:rPr>
          <w:color w:val="FFFFFF" w:themeColor="background1"/>
          <w:sz w:val="56"/>
          <w:szCs w:val="56"/>
          <w:lang w:val="en-US"/>
        </w:rPr>
        <w:t xml:space="preserve"> </w:t>
      </w:r>
      <w:proofErr w:type="spellStart"/>
      <w:proofErr w:type="gramStart"/>
      <w:r w:rsidR="00F11B4F" w:rsidRPr="00850CD3">
        <w:rPr>
          <w:color w:val="FFFFFF" w:themeColor="background1"/>
          <w:sz w:val="56"/>
          <w:szCs w:val="56"/>
          <w:lang w:val="en-US"/>
        </w:rPr>
        <w:t>na</w:t>
      </w:r>
      <w:proofErr w:type="spellEnd"/>
      <w:proofErr w:type="gramEnd"/>
      <w:r w:rsidR="00F11B4F" w:rsidRPr="00850CD3">
        <w:rPr>
          <w:color w:val="FFFFFF" w:themeColor="background1"/>
          <w:sz w:val="56"/>
          <w:szCs w:val="56"/>
          <w:lang w:val="en-US"/>
        </w:rPr>
        <w:t xml:space="preserve"> </w:t>
      </w:r>
      <w:proofErr w:type="spellStart"/>
      <w:r w:rsidR="00F11B4F" w:rsidRPr="00850CD3">
        <w:rPr>
          <w:color w:val="FFFFFF" w:themeColor="background1"/>
          <w:sz w:val="56"/>
          <w:szCs w:val="56"/>
          <w:lang w:val="en-US"/>
        </w:rPr>
        <w:t>informace</w:t>
      </w:r>
      <w:proofErr w:type="spellEnd"/>
    </w:p>
    <w:p w:rsidR="009D654A" w:rsidRPr="00015FCC" w:rsidRDefault="00132039" w:rsidP="009D654A">
      <w:pPr>
        <w:pStyle w:val="Nzev"/>
        <w:rPr>
          <w:color w:val="FFFFFF" w:themeColor="background1"/>
          <w:sz w:val="56"/>
          <w:szCs w:val="56"/>
          <w:lang w:val="en-US"/>
        </w:rPr>
      </w:pPr>
      <w:proofErr w:type="spellStart"/>
      <w:r>
        <w:rPr>
          <w:sz w:val="56"/>
          <w:szCs w:val="56"/>
          <w:lang w:val="en-US"/>
        </w:rPr>
        <w:t>Zdravotní</w:t>
      </w:r>
      <w:proofErr w:type="spellEnd"/>
      <w:r>
        <w:rPr>
          <w:sz w:val="56"/>
          <w:szCs w:val="56"/>
          <w:lang w:val="en-US"/>
        </w:rPr>
        <w:t xml:space="preserve"> </w:t>
      </w:r>
      <w:proofErr w:type="spellStart"/>
      <w:r>
        <w:rPr>
          <w:sz w:val="56"/>
          <w:szCs w:val="56"/>
          <w:lang w:val="en-US"/>
        </w:rPr>
        <w:t>pojišťovny</w:t>
      </w:r>
      <w:proofErr w:type="spellEnd"/>
      <w:r>
        <w:rPr>
          <w:sz w:val="56"/>
          <w:szCs w:val="56"/>
          <w:lang w:val="en-US"/>
        </w:rPr>
        <w:t xml:space="preserve"> </w:t>
      </w:r>
      <w:proofErr w:type="spellStart"/>
      <w:r>
        <w:rPr>
          <w:sz w:val="56"/>
          <w:szCs w:val="56"/>
          <w:lang w:val="en-US"/>
        </w:rPr>
        <w:t>jako</w:t>
      </w:r>
      <w:proofErr w:type="spellEnd"/>
      <w:r>
        <w:rPr>
          <w:sz w:val="56"/>
          <w:szCs w:val="56"/>
          <w:lang w:val="en-US"/>
        </w:rPr>
        <w:t xml:space="preserve"> </w:t>
      </w:r>
      <w:proofErr w:type="spellStart"/>
      <w:r>
        <w:rPr>
          <w:sz w:val="56"/>
          <w:szCs w:val="56"/>
          <w:lang w:val="en-US"/>
        </w:rPr>
        <w:t>povinné</w:t>
      </w:r>
      <w:proofErr w:type="spellEnd"/>
      <w:r>
        <w:rPr>
          <w:sz w:val="56"/>
          <w:szCs w:val="56"/>
          <w:lang w:val="en-US"/>
        </w:rPr>
        <w:t xml:space="preserve"> </w:t>
      </w:r>
      <w:proofErr w:type="spellStart"/>
      <w:r>
        <w:rPr>
          <w:sz w:val="56"/>
          <w:szCs w:val="56"/>
          <w:lang w:val="en-US"/>
        </w:rPr>
        <w:t>subjekty</w:t>
      </w:r>
      <w:proofErr w:type="spellEnd"/>
    </w:p>
    <w:p w:rsidR="004561D6" w:rsidRPr="00015FCC" w:rsidRDefault="004561D6" w:rsidP="004561D6">
      <w:pPr>
        <w:rPr>
          <w:sz w:val="56"/>
          <w:szCs w:val="56"/>
          <w:lang w:val="en-US"/>
        </w:rPr>
      </w:pPr>
    </w:p>
    <w:p w:rsidR="009D654A" w:rsidRDefault="009D654A" w:rsidP="009D654A">
      <w:pPr>
        <w:rPr>
          <w:lang w:val="en-US"/>
        </w:rPr>
      </w:pPr>
    </w:p>
    <w:p w:rsidR="009D654A" w:rsidRDefault="005336CA" w:rsidP="009D654A">
      <w:pPr>
        <w:rPr>
          <w:lang w:val="en-US"/>
        </w:rPr>
      </w:pPr>
      <w:r>
        <w:rPr>
          <w:lang w:val="en-US"/>
        </w:rPr>
        <w:t xml:space="preserve"> </w:t>
      </w:r>
    </w:p>
    <w:p w:rsidR="009D654A" w:rsidRDefault="009D654A" w:rsidP="009D654A">
      <w:pPr>
        <w:rPr>
          <w:lang w:val="en-US"/>
        </w:rPr>
      </w:pPr>
    </w:p>
    <w:p w:rsidR="009D654A" w:rsidRDefault="009D654A" w:rsidP="009D654A">
      <w:pPr>
        <w:rPr>
          <w:lang w:val="en-US"/>
        </w:rPr>
      </w:pPr>
    </w:p>
    <w:p w:rsidR="009D654A" w:rsidRDefault="00132039" w:rsidP="00132039">
      <w:pPr>
        <w:jc w:val="both"/>
        <w:rPr>
          <w:lang w:val="en-US"/>
        </w:rPr>
      </w:pPr>
      <w:r>
        <w:rPr>
          <w:rFonts w:ascii="Proxima Nova Rg" w:eastAsiaTheme="majorEastAsia" w:hAnsi="Proxima Nova Rg" w:cstheme="majorBidi"/>
          <w:iCs/>
          <w:color w:val="FFFFFF" w:themeColor="background1"/>
          <w:spacing w:val="15"/>
          <w:sz w:val="36"/>
          <w:szCs w:val="24"/>
        </w:rPr>
        <w:t>Zdravotní pojišťovny by měly</w:t>
      </w:r>
      <w:r w:rsidRPr="00132039">
        <w:rPr>
          <w:rFonts w:ascii="Proxima Nova Rg" w:eastAsiaTheme="majorEastAsia" w:hAnsi="Proxima Nova Rg" w:cstheme="majorBidi"/>
          <w:iCs/>
          <w:color w:val="FFFFFF" w:themeColor="background1"/>
          <w:spacing w:val="15"/>
          <w:sz w:val="36"/>
          <w:szCs w:val="24"/>
        </w:rPr>
        <w:t xml:space="preserve"> uznat, že za situace</w:t>
      </w:r>
      <w:r w:rsidR="004027E7">
        <w:rPr>
          <w:rFonts w:ascii="Proxima Nova Rg" w:eastAsiaTheme="majorEastAsia" w:hAnsi="Proxima Nova Rg" w:cstheme="majorBidi"/>
          <w:iCs/>
          <w:color w:val="FFFFFF" w:themeColor="background1"/>
          <w:spacing w:val="15"/>
          <w:sz w:val="36"/>
          <w:szCs w:val="24"/>
        </w:rPr>
        <w:t>, kdy nakládají s prostředky</w:t>
      </w:r>
      <w:r w:rsidRPr="00132039">
        <w:rPr>
          <w:rFonts w:ascii="Proxima Nova Rg" w:eastAsiaTheme="majorEastAsia" w:hAnsi="Proxima Nova Rg" w:cstheme="majorBidi"/>
          <w:iCs/>
          <w:color w:val="FFFFFF" w:themeColor="background1"/>
          <w:spacing w:val="15"/>
          <w:sz w:val="36"/>
          <w:szCs w:val="24"/>
        </w:rPr>
        <w:t xml:space="preserve"> vybíranými od veřejnosti</w:t>
      </w:r>
      <w:r w:rsidR="004027E7">
        <w:rPr>
          <w:rFonts w:ascii="Proxima Nova Rg" w:eastAsiaTheme="majorEastAsia" w:hAnsi="Proxima Nova Rg" w:cstheme="majorBidi"/>
          <w:iCs/>
          <w:color w:val="FFFFFF" w:themeColor="background1"/>
          <w:spacing w:val="15"/>
          <w:sz w:val="36"/>
          <w:szCs w:val="24"/>
        </w:rPr>
        <w:t>,</w:t>
      </w:r>
      <w:r w:rsidRPr="00132039">
        <w:rPr>
          <w:rFonts w:ascii="Proxima Nova Rg" w:eastAsiaTheme="majorEastAsia" w:hAnsi="Proxima Nova Rg" w:cstheme="majorBidi"/>
          <w:iCs/>
          <w:color w:val="FFFFFF" w:themeColor="background1"/>
          <w:spacing w:val="15"/>
          <w:sz w:val="36"/>
          <w:szCs w:val="24"/>
        </w:rPr>
        <w:t xml:space="preserve"> </w:t>
      </w:r>
      <w:r w:rsidR="004027E7">
        <w:rPr>
          <w:rFonts w:ascii="Proxima Nova Rg" w:eastAsiaTheme="majorEastAsia" w:hAnsi="Proxima Nova Rg" w:cstheme="majorBidi"/>
          <w:iCs/>
          <w:color w:val="FFFFFF" w:themeColor="background1"/>
          <w:spacing w:val="15"/>
          <w:sz w:val="36"/>
          <w:szCs w:val="24"/>
        </w:rPr>
        <w:t xml:space="preserve">musejí také umožnit veřejnou kontrolu. </w:t>
      </w:r>
    </w:p>
    <w:p w:rsidR="000C099C" w:rsidRPr="000C099C" w:rsidRDefault="000C099C" w:rsidP="000C099C">
      <w:pPr>
        <w:rPr>
          <w:lang w:val="en-US"/>
        </w:rPr>
      </w:pPr>
    </w:p>
    <w:p w:rsidR="00132039" w:rsidRPr="00132039" w:rsidRDefault="00132039" w:rsidP="00132039">
      <w:pPr>
        <w:pStyle w:val="Nadpis1"/>
        <w:rPr>
          <w:sz w:val="48"/>
          <w:szCs w:val="48"/>
          <w:lang w:val="en-US"/>
        </w:rPr>
      </w:pPr>
      <w:proofErr w:type="spellStart"/>
      <w:proofErr w:type="gramStart"/>
      <w:r w:rsidRPr="00132039">
        <w:rPr>
          <w:sz w:val="48"/>
          <w:szCs w:val="48"/>
          <w:lang w:val="en-US"/>
        </w:rPr>
        <w:lastRenderedPageBreak/>
        <w:t>Musejí</w:t>
      </w:r>
      <w:proofErr w:type="spellEnd"/>
      <w:r w:rsidRPr="00132039">
        <w:rPr>
          <w:sz w:val="48"/>
          <w:szCs w:val="48"/>
          <w:lang w:val="en-US"/>
        </w:rPr>
        <w:t xml:space="preserve"> </w:t>
      </w:r>
      <w:proofErr w:type="spellStart"/>
      <w:r w:rsidRPr="00132039">
        <w:rPr>
          <w:sz w:val="48"/>
          <w:szCs w:val="48"/>
          <w:lang w:val="en-US"/>
        </w:rPr>
        <w:t>zdravotní</w:t>
      </w:r>
      <w:proofErr w:type="spellEnd"/>
      <w:r w:rsidRPr="00132039">
        <w:rPr>
          <w:sz w:val="48"/>
          <w:szCs w:val="48"/>
          <w:lang w:val="en-US"/>
        </w:rPr>
        <w:t xml:space="preserve"> </w:t>
      </w:r>
      <w:proofErr w:type="spellStart"/>
      <w:r w:rsidRPr="00132039">
        <w:rPr>
          <w:sz w:val="48"/>
          <w:szCs w:val="48"/>
          <w:lang w:val="en-US"/>
        </w:rPr>
        <w:t>pojišťovny</w:t>
      </w:r>
      <w:proofErr w:type="spellEnd"/>
      <w:r w:rsidRPr="00132039">
        <w:rPr>
          <w:sz w:val="48"/>
          <w:szCs w:val="48"/>
          <w:lang w:val="en-US"/>
        </w:rPr>
        <w:t xml:space="preserve"> </w:t>
      </w:r>
      <w:proofErr w:type="spellStart"/>
      <w:r w:rsidRPr="00132039">
        <w:rPr>
          <w:sz w:val="48"/>
          <w:szCs w:val="48"/>
          <w:lang w:val="en-US"/>
        </w:rPr>
        <w:t>informovat</w:t>
      </w:r>
      <w:proofErr w:type="spellEnd"/>
      <w:r w:rsidRPr="00132039">
        <w:rPr>
          <w:sz w:val="48"/>
          <w:szCs w:val="48"/>
          <w:lang w:val="en-US"/>
        </w:rPr>
        <w:t xml:space="preserve"> úplně nebo jenom trochu?</w:t>
      </w:r>
      <w:proofErr w:type="gramEnd"/>
    </w:p>
    <w:p w:rsidR="00132039" w:rsidRDefault="00132039" w:rsidP="00132039">
      <w:pPr>
        <w:jc w:val="both"/>
      </w:pPr>
      <w:r>
        <w:t xml:space="preserve">Zákon o přístupu k informacím zná dva typy povinných subjektů. Jedny s plnou informační povinností, které nazývá „veřejnými institucemi“, a pak jiné subjekty, které mají informovat jen v omezeném rozsahu, v němž rozhodují o právech občanů. Ty mají takzvaně </w:t>
      </w:r>
      <w:r w:rsidRPr="00591C5C">
        <w:rPr>
          <w:i/>
        </w:rPr>
        <w:t>částečnou</w:t>
      </w:r>
      <w:r>
        <w:t xml:space="preserve"> informační povinnost. Tento rozdíl, vyjádřený v § 2 </w:t>
      </w:r>
      <w:proofErr w:type="spellStart"/>
      <w:r>
        <w:t>Infozákona</w:t>
      </w:r>
      <w:proofErr w:type="spellEnd"/>
      <w:r>
        <w:t xml:space="preserve"> rozdílem mezi odstavcem 1 a odstavcem 2, se stal jádrem mnoho let doutnajícího sporu s oborovými zdravotními pojišťovnami, zda mají poskytovat informace všechny, anebo jen z vymezeného částečného rozsahu.</w:t>
      </w:r>
    </w:p>
    <w:p w:rsidR="00132039" w:rsidRDefault="00132039" w:rsidP="00132039">
      <w:pPr>
        <w:jc w:val="both"/>
      </w:pPr>
      <w:r>
        <w:t>Zdravotní pojišťovny jsou v našem systému zdravotnictví takovým typem subjektů, že je z hlediska práva na informace musíme považovat za veřejné instituce, které ve společnosti hrají roli přináležející veřejné službě a nakládání s veřejnými penězi, než že by šlo o privátní subjekty, podobně jako běžné pojišťovny, pojišťující domy, auta, či podnikatele, ovšem na bázi dobrovolnosti.</w:t>
      </w:r>
    </w:p>
    <w:p w:rsidR="00132039" w:rsidRDefault="00132039" w:rsidP="00132039">
      <w:pPr>
        <w:jc w:val="both"/>
      </w:pPr>
      <w:r>
        <w:t xml:space="preserve">Oborové zdravotní pojišťovny, </w:t>
      </w:r>
      <w:hyperlink r:id="rId8" w:history="1">
        <w:r w:rsidRPr="00630A53">
          <w:rPr>
            <w:rStyle w:val="Hypertextovodkaz"/>
          </w:rPr>
          <w:t>kterých je v ČR šest</w:t>
        </w:r>
      </w:hyperlink>
      <w:r>
        <w:t xml:space="preserve">, to však příliš neuznávají a tvrdí, že se na ně zákon o svobodném přístupu k informacím nevztahuje v plné šíři. Akceptují jen částečnou informační povinnost v rozsahu, ve kterém rozhodují o právech pojištěnců. Nemusejí však prý poskytovat ostatní informace tak, jako běžné povinné subjekty s plnou informační povinností, tedy například o svém rozpočtu, smluvních vztazích, o úhradách zdravotnickým zařízením či o konkrétních situacích, jako například, zda pachatel trestného činu uhradil náklady na léčení oběti. Právě takovou informaci odmítla žadateli poskytnout </w:t>
      </w:r>
      <w:r w:rsidRPr="00A7529E">
        <w:t>Revírní bratrsk</w:t>
      </w:r>
      <w:r>
        <w:t>á</w:t>
      </w:r>
      <w:r w:rsidRPr="00A7529E">
        <w:t xml:space="preserve"> pokladn</w:t>
      </w:r>
      <w:r>
        <w:t>a</w:t>
      </w:r>
      <w:r w:rsidRPr="00A7529E">
        <w:t>, zdravotní pojišťovn</w:t>
      </w:r>
      <w:r>
        <w:t xml:space="preserve">a, s tím, že se na ni obecná </w:t>
      </w:r>
      <w:r>
        <w:lastRenderedPageBreak/>
        <w:t xml:space="preserve">informační povinnost podle </w:t>
      </w:r>
      <w:proofErr w:type="spellStart"/>
      <w:r>
        <w:t>Infozákona</w:t>
      </w:r>
      <w:proofErr w:type="spellEnd"/>
      <w:r>
        <w:t xml:space="preserve"> nevztahuje. Nepřistoupila ani na </w:t>
      </w:r>
      <w:hyperlink r:id="rId9" w:history="1">
        <w:r w:rsidRPr="00E202E6">
          <w:rPr>
            <w:rStyle w:val="Hypertextovodkaz"/>
          </w:rPr>
          <w:t>stanovisko Veřejné ochránkyně práv</w:t>
        </w:r>
      </w:hyperlink>
      <w:r>
        <w:t>, která jí na základě šetření k podnětu žadatele navrhla akceptovat,</w:t>
      </w:r>
      <w:r w:rsidRPr="00A7529E">
        <w:t xml:space="preserve"> že je povinným subjektem </w:t>
      </w:r>
      <w:r w:rsidRPr="00E202E6">
        <w:t>s plnou informační povinností</w:t>
      </w:r>
      <w:r>
        <w:t>.</w:t>
      </w:r>
    </w:p>
    <w:p w:rsidR="00132039" w:rsidRDefault="00132039" w:rsidP="00132039">
      <w:pPr>
        <w:jc w:val="both"/>
      </w:pPr>
      <w:r>
        <w:t xml:space="preserve">Tvrdohlavost některých oborových zdravotních pojišťoven je překvapující. Jistě totiž znají argumentaci, ze které plyne opak. Existuje několik rozsudků, které je zařadily mezi veřejné instituce a uvedly, že mají poskytovat informace například o prováděných platbách. </w:t>
      </w:r>
    </w:p>
    <w:p w:rsidR="00132039" w:rsidRDefault="00132039" w:rsidP="00132039">
      <w:pPr>
        <w:jc w:val="both"/>
      </w:pPr>
    </w:p>
    <w:p w:rsidR="00132039" w:rsidRPr="00132039" w:rsidRDefault="00132039" w:rsidP="00132039">
      <w:pPr>
        <w:jc w:val="both"/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</w:pPr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>Soudy: rozhoduje právo pojištěnců znát hospodaření</w:t>
      </w:r>
    </w:p>
    <w:p w:rsidR="00132039" w:rsidRDefault="00132039" w:rsidP="00132039">
      <w:pPr>
        <w:jc w:val="both"/>
      </w:pPr>
      <w:r>
        <w:t xml:space="preserve">Prvními byly rozsudky o Všeobecné zdravotní pojišťovně, která má mezi zdravotními pojišťovnami specifické postavení. Za </w:t>
      </w:r>
      <w:r w:rsidRPr="00A7529E">
        <w:t xml:space="preserve">povinný subjekt ji shledal Ústavní soud </w:t>
      </w:r>
      <w:r>
        <w:t xml:space="preserve">již v lednu 2003 </w:t>
      </w:r>
      <w:r w:rsidRPr="00A7529E">
        <w:t xml:space="preserve">(nález ÚS </w:t>
      </w:r>
      <w:proofErr w:type="spellStart"/>
      <w:r w:rsidRPr="00A7529E">
        <w:t>sp</w:t>
      </w:r>
      <w:proofErr w:type="spellEnd"/>
      <w:r w:rsidRPr="00A7529E">
        <w:t>. zn. III. ÚS 671/02</w:t>
      </w:r>
      <w:r>
        <w:t xml:space="preserve">). </w:t>
      </w:r>
      <w:r w:rsidRPr="00A7529E">
        <w:t xml:space="preserve">V návaznosti na to konstatoval </w:t>
      </w:r>
      <w:r>
        <w:t>v roce 2007 Nejvyšší správní soud</w:t>
      </w:r>
      <w:r w:rsidRPr="00A7529E">
        <w:t xml:space="preserve"> (v rozsudku 3 </w:t>
      </w:r>
      <w:proofErr w:type="spellStart"/>
      <w:r w:rsidRPr="00A7529E">
        <w:t>Ads</w:t>
      </w:r>
      <w:proofErr w:type="spellEnd"/>
      <w:r w:rsidRPr="00A7529E">
        <w:t xml:space="preserve"> 33/2006-57 (1272/2007 Sb.</w:t>
      </w:r>
      <w:r>
        <w:t xml:space="preserve"> </w:t>
      </w:r>
      <w:r w:rsidRPr="00A7529E">
        <w:t xml:space="preserve">NSS), že Všeobecná zdravotní pojišťovna je podle </w:t>
      </w:r>
      <w:proofErr w:type="spellStart"/>
      <w:r>
        <w:t>Info</w:t>
      </w:r>
      <w:r w:rsidRPr="00A7529E">
        <w:t>zákona</w:t>
      </w:r>
      <w:proofErr w:type="spellEnd"/>
      <w:r w:rsidRPr="00A7529E">
        <w:t xml:space="preserve"> subjektem s informační povinností, neboť prostředky, které jsou získávány v systému zdravotního pojištění, mají charakter veřejných prostředků a slouží k úhradě zdravotní péče, která má charakter veřejné služby.</w:t>
      </w:r>
      <w:r>
        <w:t xml:space="preserve"> Ústavní i Nejvyšší správní soud tak zohlednily, že zdravotní pojištění je de facto typem daně, pojištěnci v naší zemi neplatí dobrovolně, ale povinně. </w:t>
      </w:r>
    </w:p>
    <w:p w:rsidR="00132039" w:rsidRDefault="00132039" w:rsidP="00132039">
      <w:pPr>
        <w:jc w:val="both"/>
      </w:pPr>
      <w:r>
        <w:t xml:space="preserve">Ve sporu šlo o to, zda je VZP povinna poskytnout žadateli údaje o platbách jednotlivým zdravotnickým zařízením. V tom bodě se právo na informace docela přiblížilo právu těchto privátních zařízení na ochranu jejich podnikatelských </w:t>
      </w:r>
      <w:r>
        <w:lastRenderedPageBreak/>
        <w:t>aktivit, obchodního tajemství. Nicméně i v tomto případě Nejvyšší správní soud nejen potvrdil postavení VZP jako povinného subjektu s plnou informační povinností, ale hlavně rozhodl, že přednost má ten úhel pohledu, že jde o veřejné peníze, které na rozdíl od běžných komerčních pojištění povinně platí všichni občané. Platby jednotlivým zařízením navíc posoudil vzhledem k pluralitě systému zdravotního pojištění jako natolik rozptýlené, že nepředstavují rozkrytí majetkových poměrů těchto jinak „soukromě“ podnikajících subjektů. Neuznal ani možnost chránit takové údaje obchodním tajemstvím, protože jde o údaje vyplývající z právních předpisů, takže nejsou obecně neznámé.</w:t>
      </w:r>
    </w:p>
    <w:p w:rsidR="00132039" w:rsidRPr="002F6476" w:rsidRDefault="00132039" w:rsidP="00132039">
      <w:pPr>
        <w:jc w:val="both"/>
      </w:pPr>
      <w:r>
        <w:t xml:space="preserve">Klíčové v tomto rozsudku bylo stanovisko NSS, že </w:t>
      </w:r>
      <w:r w:rsidRPr="00030615">
        <w:rPr>
          <w:i/>
        </w:rPr>
        <w:t>„každý účastník systému veřejného zdravotního pojištění by měl mít možnost zjistit a kontrolovat, jakým způsobem je nakládáno s finančními prostředky, které se v systému nacházejí“</w:t>
      </w:r>
      <w:r w:rsidRPr="00A7529E">
        <w:t xml:space="preserve">. NSS také vyjasnil, že systém zdravotního pojištění se v ČR vyvinul tak, že prakticky neexistují rozdíly mezi VZP a ostatním oborovými zdravotními pojišťovnami. Konkrétně NSS uvedl, že </w:t>
      </w:r>
      <w:r w:rsidRPr="000C575D">
        <w:rPr>
          <w:i/>
        </w:rPr>
        <w:t>„z těchto specifik VZP nelze dovodit žádný důvod vedoucí k tomu, aby při poskytování informací byla VZP posuzována jakkoli odlišně od ostatních zdravotních pojišťoven. Tak jako ostatní zdravotní pojišťovny, i ona přijímá platby pojistného od pojištěnců, zaměstnavatelů a státu na všeobecné (veřejné) zdravotní pojištění dané zákonem č. 592/1992 Sb., a jako ostatní zdravotní pojišťovny poskytuje platby za úhrady zdravotní péče poskytované na základě veřejného zdravotního pojištění podle smluv uzavřených se zdravotnickými zařízeními.“</w:t>
      </w:r>
      <w:r>
        <w:t xml:space="preserve"> NSS tedy oborové pojišťovny sice nepřímo, ale jednoznačně zařadil</w:t>
      </w:r>
      <w:r w:rsidRPr="00C5013B">
        <w:t xml:space="preserve"> </w:t>
      </w:r>
      <w:r>
        <w:t>mezi veřejné instituce, a to proto, že potvrdil jejich povinnost poskytovat informace, které zjevně spadají právě do široké, úplné informační povinnosti, a naopak nespadají do oné úzké, částečné.</w:t>
      </w:r>
    </w:p>
    <w:p w:rsidR="00132039" w:rsidRPr="00A7529E" w:rsidRDefault="00132039" w:rsidP="00132039">
      <w:pPr>
        <w:jc w:val="both"/>
      </w:pPr>
      <w:r w:rsidRPr="00A7529E">
        <w:lastRenderedPageBreak/>
        <w:t>Krátce poté následoval rozsudek NSS (</w:t>
      </w:r>
      <w:proofErr w:type="spellStart"/>
      <w:proofErr w:type="gramStart"/>
      <w:r w:rsidRPr="00A7529E">
        <w:t>č.j</w:t>
      </w:r>
      <w:proofErr w:type="spellEnd"/>
      <w:r w:rsidRPr="00A7529E">
        <w:t>.</w:t>
      </w:r>
      <w:proofErr w:type="gramEnd"/>
      <w:r w:rsidRPr="00A7529E">
        <w:t xml:space="preserve"> 3 As 50/2006-68)</w:t>
      </w:r>
      <w:r>
        <w:t xml:space="preserve"> o kasační stížnosti</w:t>
      </w:r>
      <w:r w:rsidRPr="00A7529E">
        <w:t>, který se týk</w:t>
      </w:r>
      <w:r>
        <w:t>al</w:t>
      </w:r>
      <w:r w:rsidRPr="00A7529E">
        <w:t xml:space="preserve"> oborové zdravotní pojišťovny, konkrétně Zdravotní pojišťovny ministerstva vnitra ČR. Oborové zdravotní pojišťovny se liší od VZP </w:t>
      </w:r>
      <w:r>
        <w:t xml:space="preserve">hlavně </w:t>
      </w:r>
      <w:r w:rsidRPr="00A7529E">
        <w:t xml:space="preserve">tím, že nevznikly přímo zákonem, ale pouze postupem, upraveným v zákoně. Zdravotní pojišťovna ministerstva vnitra ČR tvrdila, že není povinným subjektem. Městský soud v Praze toto tvrzení vzal za samozřejmou věc, ovšem NSS mu uložil právě tuto otázku přezkoumat. Městský soud pak v navazujícím rozsudku 12 </w:t>
      </w:r>
      <w:proofErr w:type="spellStart"/>
      <w:r w:rsidRPr="00A7529E">
        <w:t>Cad</w:t>
      </w:r>
      <w:proofErr w:type="spellEnd"/>
      <w:r w:rsidRPr="00A7529E">
        <w:t xml:space="preserve"> 11/2007 – 84 jednoznačně ZPMV uznal za povinný subjekt</w:t>
      </w:r>
      <w:r>
        <w:t xml:space="preserve"> s plnou informační povinností (tj. podle § 2 odstavce 1 </w:t>
      </w:r>
      <w:proofErr w:type="spellStart"/>
      <w:r>
        <w:t>Infozákona</w:t>
      </w:r>
      <w:proofErr w:type="spellEnd"/>
      <w:r>
        <w:t>, nikoli podle odstavce 2, jak by rády pojišťovny)</w:t>
      </w:r>
      <w:r w:rsidRPr="00A7529E">
        <w:t>.</w:t>
      </w:r>
    </w:p>
    <w:p w:rsidR="00132039" w:rsidRDefault="00132039" w:rsidP="00132039">
      <w:pPr>
        <w:jc w:val="both"/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</w:pPr>
    </w:p>
    <w:p w:rsidR="00132039" w:rsidRPr="00132039" w:rsidRDefault="00132039" w:rsidP="00132039">
      <w:pPr>
        <w:jc w:val="both"/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</w:pPr>
      <w:proofErr w:type="spellStart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>Skulina</w:t>
      </w:r>
      <w:proofErr w:type="spellEnd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 xml:space="preserve"> v </w:t>
      </w:r>
      <w:proofErr w:type="spellStart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>rozsudku</w:t>
      </w:r>
      <w:proofErr w:type="spellEnd"/>
    </w:p>
    <w:p w:rsidR="00132039" w:rsidRDefault="00132039" w:rsidP="00132039">
      <w:pPr>
        <w:jc w:val="both"/>
      </w:pPr>
      <w:r w:rsidRPr="00A7529E">
        <w:t xml:space="preserve">Uvedl zejména, že stejný režim stanoveny zákonem o informacích lze vztáhnout na všechny zdravotní pojišťovny včetně Všeobecné zdravotní pojišťovny. Ostatní zdravotní pojišťovny, které byly sice zřízeny jiným způsobem než Všeobecná zdravotní pojišťovna, mají </w:t>
      </w:r>
      <w:r>
        <w:t>podle soudu</w:t>
      </w:r>
      <w:r w:rsidRPr="00A7529E">
        <w:t xml:space="preserve">, pokud jde o povinnost poskytovat informace ve smyslu </w:t>
      </w:r>
      <w:proofErr w:type="spellStart"/>
      <w:r>
        <w:t>Info</w:t>
      </w:r>
      <w:r w:rsidRPr="00A7529E">
        <w:t>zákona</w:t>
      </w:r>
      <w:proofErr w:type="spellEnd"/>
      <w:r>
        <w:t>,</w:t>
      </w:r>
      <w:r w:rsidRPr="00A7529E">
        <w:t xml:space="preserve"> stejné postavení jako Všeobecná zdravotní pojišťovna.</w:t>
      </w:r>
      <w:r>
        <w:t xml:space="preserve"> </w:t>
      </w:r>
    </w:p>
    <w:p w:rsidR="00132039" w:rsidRDefault="00132039" w:rsidP="00132039">
      <w:pPr>
        <w:jc w:val="both"/>
      </w:pPr>
      <w:r>
        <w:t>Soud se však příliš nezabýval rozborem znaků, podle kterých je podle jiného nálezu Ústavního soudu možné podřadit subjekt pod pojem veřejné instituce. Na této mezerce v argumentaci právě oborové pojišťovny staví svůj odpor. Z kontextu výše uvedených rozhodnutí</w:t>
      </w:r>
      <w:r w:rsidRPr="005C22D4">
        <w:t xml:space="preserve"> </w:t>
      </w:r>
      <w:r>
        <w:t xml:space="preserve">to však jasně plyne. Soudy v nich vždy zdůraznily právo veřejnosti znát údaje, které jednoznačně přesahují částečnou </w:t>
      </w:r>
      <w:r>
        <w:lastRenderedPageBreak/>
        <w:t xml:space="preserve">informační povinnost. Argumentace v rozsudcích tedy nesměřovala k částečné informační povinnosti, dopadající pouze na </w:t>
      </w:r>
      <w:r w:rsidRPr="00E16A1A">
        <w:t>rozhodování o právech, právem chráněných zájmech nebo povinnostech fyzických nebo právnických osob v oblasti veřejné správy</w:t>
      </w:r>
      <w:r>
        <w:t>, ale na rozsah plné informační povinnosti. Soudy se totiž vyjadřovaly především k informacím o platbách jednotlivým zdravotnickým zařízením, a k právu pojištěnců znát je.</w:t>
      </w:r>
    </w:p>
    <w:p w:rsidR="00132039" w:rsidRDefault="00132039" w:rsidP="00132039">
      <w:pPr>
        <w:jc w:val="both"/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</w:pPr>
    </w:p>
    <w:p w:rsidR="00132039" w:rsidRPr="00132039" w:rsidRDefault="00132039" w:rsidP="00132039">
      <w:pPr>
        <w:jc w:val="both"/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</w:pPr>
      <w:proofErr w:type="spellStart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>Ombudsmanka</w:t>
      </w:r>
      <w:proofErr w:type="spellEnd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 xml:space="preserve"> </w:t>
      </w:r>
      <w:proofErr w:type="spellStart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>našla</w:t>
      </w:r>
      <w:proofErr w:type="spellEnd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 xml:space="preserve"> </w:t>
      </w:r>
      <w:proofErr w:type="spellStart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>znaky</w:t>
      </w:r>
      <w:proofErr w:type="spellEnd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 xml:space="preserve"> </w:t>
      </w:r>
      <w:proofErr w:type="spellStart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>veřejné</w:t>
      </w:r>
      <w:proofErr w:type="spellEnd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 xml:space="preserve"> instituce</w:t>
      </w:r>
    </w:p>
    <w:p w:rsidR="00132039" w:rsidRPr="00A7529E" w:rsidRDefault="00132039" w:rsidP="00132039">
      <w:pPr>
        <w:jc w:val="both"/>
      </w:pPr>
      <w:r>
        <w:t xml:space="preserve">Veřejná ochránkyně práv ve svém aktuálním sdělení právě tento aspekt přímo pojmenovává. Na příkladu </w:t>
      </w:r>
      <w:r w:rsidRPr="00D5326E">
        <w:t>Revírní bratrsk</w:t>
      </w:r>
      <w:r>
        <w:t>é</w:t>
      </w:r>
      <w:r w:rsidRPr="00D5326E">
        <w:t xml:space="preserve"> pokladn</w:t>
      </w:r>
      <w:r>
        <w:t xml:space="preserve">y dovozuje, že i tyto oborové pojišťovny splňují převahu znaků, požadovaných Ústavním soudem k zařazení mezi veřejné instituce. Tyto znaky totiž nemusejí být splněny zcela, postačuje pouze jejich celková převaha. Konkrétně uvádí, že </w:t>
      </w:r>
      <w:r w:rsidRPr="00507787">
        <w:t>Revírní bratrsk</w:t>
      </w:r>
      <w:r>
        <w:t>á</w:t>
      </w:r>
      <w:r w:rsidRPr="00507787">
        <w:t xml:space="preserve"> pokladn</w:t>
      </w:r>
      <w:r>
        <w:t>a</w:t>
      </w:r>
      <w:r w:rsidRPr="00507787">
        <w:t xml:space="preserve"> byla zřízena rozhodnutím Ministerstva práce a sociálních věcí; třetinu členů její správní i dozorčí rady jmenuje vláda; podléhá kontrole ze strany Ministerstva financí a Ministerstva zdravotnictví; provádí veřejné zdravotní pojištění, tj. hospodaří s veřejnými prostředky za účelem uspokojení veřejné potřeby − zajištění péče o zdraví obyvatelstva.</w:t>
      </w:r>
      <w:r>
        <w:t xml:space="preserve"> Jde tedy o převahu potřebných znaků.</w:t>
      </w:r>
    </w:p>
    <w:p w:rsidR="00132039" w:rsidRDefault="00132039" w:rsidP="00132039">
      <w:pPr>
        <w:jc w:val="both"/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</w:pPr>
    </w:p>
    <w:p w:rsidR="00132039" w:rsidRPr="00132039" w:rsidRDefault="00132039" w:rsidP="00132039">
      <w:pPr>
        <w:jc w:val="both"/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</w:pPr>
      <w:proofErr w:type="spellStart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>Nový</w:t>
      </w:r>
      <w:proofErr w:type="spellEnd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 xml:space="preserve"> argument – </w:t>
      </w:r>
      <w:proofErr w:type="spellStart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>Registr</w:t>
      </w:r>
      <w:proofErr w:type="spellEnd"/>
      <w:r w:rsidRPr="00132039">
        <w:rPr>
          <w:rFonts w:asciiTheme="majorHAnsi" w:eastAsiaTheme="majorEastAsia" w:hAnsiTheme="majorHAnsi" w:cstheme="majorBidi"/>
          <w:b/>
          <w:bCs/>
          <w:color w:val="26967E" w:themeColor="text1"/>
          <w:sz w:val="36"/>
          <w:szCs w:val="36"/>
          <w:lang w:val="en-US"/>
        </w:rPr>
        <w:t xml:space="preserve"> smluv</w:t>
      </w:r>
    </w:p>
    <w:p w:rsidR="00132039" w:rsidRDefault="00132039" w:rsidP="00132039">
      <w:pPr>
        <w:jc w:val="both"/>
      </w:pPr>
      <w:r w:rsidRPr="00591C5C">
        <w:t xml:space="preserve">Významnou změnu do právního pohledu na oborové zdravotní pojišťovny </w:t>
      </w:r>
      <w:r>
        <w:t xml:space="preserve">navíc </w:t>
      </w:r>
      <w:r w:rsidRPr="00591C5C">
        <w:t>nedávno přinesl zákon o registru smluv. Uložil jim totiž zveřejňovat smlouvy</w:t>
      </w:r>
      <w:r>
        <w:t xml:space="preserve">. Je </w:t>
      </w:r>
      <w:r w:rsidRPr="00591C5C">
        <w:lastRenderedPageBreak/>
        <w:t xml:space="preserve">zcela jasné, že ty nespadají do částečné informační povinnosti, ale logicky představují právě onu úplnou informační povinnost. </w:t>
      </w:r>
      <w:r>
        <w:t>Nový</w:t>
      </w:r>
      <w:r w:rsidRPr="00591C5C">
        <w:t xml:space="preserve"> zákon tedy zopakoval, že zdravotní pojišťovny jsou na tom všechny stejně, mají poskytovat všechny informa</w:t>
      </w:r>
      <w:r>
        <w:t>ce, a </w:t>
      </w:r>
      <w:r w:rsidRPr="00591C5C">
        <w:t>chránit mezi nimi mohou jen ty, které opravdu představují jejich obchodní tajemství, případně jsou chráněné jako osobní údaje anebo další výslovně chráněné informace.</w:t>
      </w:r>
    </w:p>
    <w:p w:rsidR="00132039" w:rsidRPr="00591C5C" w:rsidRDefault="00132039" w:rsidP="00132039">
      <w:pPr>
        <w:jc w:val="both"/>
      </w:pPr>
      <w:r>
        <w:t>Oborové zdravotní pojišťovny by tedy měly konečně uznat, že za situace, kdy nakládají s prostředky, vybíranými od veřejnosti na základě povinnosti a pod sankcí, srovnatelně s daněmi, musejí strpět právo poplatníků vidět jim pod pokličku mnohem více, než doposud.</w:t>
      </w:r>
    </w:p>
    <w:p w:rsidR="00132039" w:rsidRPr="001F00C4" w:rsidRDefault="00132039" w:rsidP="00132039">
      <w:pPr>
        <w:jc w:val="right"/>
        <w:rPr>
          <w:rFonts w:ascii="Arial" w:hAnsi="Arial" w:cs="Arial"/>
          <w:i/>
          <w:color w:val="333333"/>
        </w:rPr>
      </w:pPr>
      <w:r w:rsidRPr="001F00C4">
        <w:rPr>
          <w:rFonts w:ascii="Arial" w:hAnsi="Arial" w:cs="Arial"/>
          <w:i/>
          <w:color w:val="333333"/>
        </w:rPr>
        <w:t>Oldřich Kužílek</w:t>
      </w:r>
    </w:p>
    <w:p w:rsidR="00132039" w:rsidRPr="001F00C4" w:rsidRDefault="00132039" w:rsidP="00132039">
      <w:pPr>
        <w:jc w:val="right"/>
        <w:rPr>
          <w:rFonts w:ascii="Arial" w:hAnsi="Arial" w:cs="Arial"/>
          <w:i/>
          <w:color w:val="333333"/>
        </w:rPr>
      </w:pPr>
      <w:r w:rsidRPr="001F00C4">
        <w:rPr>
          <w:rFonts w:ascii="Arial" w:hAnsi="Arial" w:cs="Arial"/>
          <w:i/>
          <w:color w:val="333333"/>
        </w:rPr>
        <w:t>Poradce pro otevřenost veřejné správy</w:t>
      </w:r>
    </w:p>
    <w:p w:rsidR="009730F4" w:rsidRPr="00C568A3" w:rsidRDefault="009730F4" w:rsidP="00C568A3">
      <w:pPr>
        <w:pStyle w:val="Normlnweb"/>
        <w:shd w:val="clear" w:color="auto" w:fill="FFFFFF"/>
        <w:spacing w:before="0" w:beforeAutospacing="0" w:after="206" w:afterAutospacing="0" w:line="360" w:lineRule="auto"/>
        <w:ind w:left="56" w:right="56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59748E" w:rsidRDefault="0059748E" w:rsidP="0039018A">
      <w:pPr>
        <w:pStyle w:val="Normlnweb"/>
        <w:shd w:val="clear" w:color="auto" w:fill="FFFFFF"/>
        <w:spacing w:before="0" w:beforeAutospacing="0" w:after="206" w:afterAutospacing="0" w:line="360" w:lineRule="auto"/>
        <w:ind w:right="57"/>
        <w:jc w:val="both"/>
        <w:rPr>
          <w:rFonts w:asciiTheme="minorHAnsi" w:hAnsiTheme="minorHAnsi"/>
          <w:b/>
          <w:color w:val="CDA41C" w:themeColor="accent1" w:themeShade="BF"/>
          <w:sz w:val="28"/>
          <w:szCs w:val="28"/>
        </w:rPr>
      </w:pPr>
      <w:r w:rsidRPr="00CE3CA7">
        <w:rPr>
          <w:rFonts w:asciiTheme="minorHAnsi" w:hAnsiTheme="minorHAnsi"/>
          <w:b/>
          <w:color w:val="CDA41C" w:themeColor="accent1" w:themeShade="BF"/>
          <w:sz w:val="28"/>
          <w:szCs w:val="28"/>
        </w:rPr>
        <w:t xml:space="preserve">Pro Otevřenou společnost </w:t>
      </w:r>
      <w:r w:rsidR="00CE3CA7" w:rsidRPr="00CE3CA7">
        <w:rPr>
          <w:rFonts w:asciiTheme="minorHAnsi" w:hAnsiTheme="minorHAnsi"/>
          <w:b/>
          <w:color w:val="CDA41C" w:themeColor="accent1" w:themeShade="BF"/>
          <w:sz w:val="28"/>
          <w:szCs w:val="28"/>
        </w:rPr>
        <w:t>zpracoval Oldřich Kužílek</w:t>
      </w:r>
      <w:r w:rsidR="009A22E8">
        <w:rPr>
          <w:rFonts w:asciiTheme="minorHAnsi" w:hAnsiTheme="minorHAnsi"/>
          <w:b/>
          <w:color w:val="CDA41C" w:themeColor="accent1" w:themeShade="BF"/>
          <w:sz w:val="28"/>
          <w:szCs w:val="28"/>
        </w:rPr>
        <w:t>, poradce pro otevřenost veřejné správy</w:t>
      </w:r>
      <w:r w:rsidR="00CE3CA7" w:rsidRPr="00CE3CA7">
        <w:rPr>
          <w:rFonts w:asciiTheme="minorHAnsi" w:hAnsiTheme="minorHAnsi"/>
          <w:b/>
          <w:color w:val="CDA41C" w:themeColor="accent1" w:themeShade="BF"/>
          <w:sz w:val="28"/>
          <w:szCs w:val="28"/>
        </w:rPr>
        <w:t>.</w:t>
      </w:r>
    </w:p>
    <w:p w:rsidR="0039018A" w:rsidRDefault="0039018A" w:rsidP="0039018A">
      <w:pPr>
        <w:pStyle w:val="Normlnweb"/>
        <w:shd w:val="clear" w:color="auto" w:fill="FFFFFF"/>
        <w:spacing w:before="0" w:beforeAutospacing="0" w:after="206" w:afterAutospacing="0" w:line="360" w:lineRule="auto"/>
        <w:ind w:right="57"/>
        <w:jc w:val="both"/>
        <w:rPr>
          <w:rFonts w:asciiTheme="minorHAnsi" w:hAnsiTheme="minorHAnsi"/>
          <w:b/>
          <w:color w:val="CDA41C" w:themeColor="accent1" w:themeShade="BF"/>
          <w:sz w:val="28"/>
          <w:szCs w:val="28"/>
        </w:rPr>
      </w:pPr>
    </w:p>
    <w:p w:rsidR="0039018A" w:rsidRPr="00CE3CA7" w:rsidRDefault="0039018A" w:rsidP="0039018A">
      <w:pPr>
        <w:pStyle w:val="Normlnweb"/>
        <w:shd w:val="clear" w:color="auto" w:fill="FFFFFF"/>
        <w:spacing w:before="0" w:beforeAutospacing="0" w:after="206" w:afterAutospacing="0" w:line="360" w:lineRule="auto"/>
        <w:ind w:right="57"/>
        <w:jc w:val="both"/>
        <w:rPr>
          <w:rFonts w:asciiTheme="minorHAnsi" w:hAnsiTheme="minorHAnsi"/>
          <w:b/>
          <w:color w:val="CDA41C" w:themeColor="accent1" w:themeShade="BF"/>
          <w:sz w:val="28"/>
          <w:szCs w:val="28"/>
        </w:rPr>
      </w:pPr>
    </w:p>
    <w:sectPr w:rsidR="0039018A" w:rsidRPr="00CE3CA7" w:rsidSect="009D654A">
      <w:headerReference w:type="default" r:id="rId10"/>
      <w:headerReference w:type="first" r:id="rId11"/>
      <w:pgSz w:w="11906" w:h="16838" w:code="9"/>
      <w:pgMar w:top="2268" w:right="1134" w:bottom="1985" w:left="1134" w:header="709" w:footer="70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9DA" w:rsidRDefault="00C659DA" w:rsidP="00C7223F">
      <w:pPr>
        <w:spacing w:after="0" w:line="240" w:lineRule="auto"/>
      </w:pPr>
      <w:r>
        <w:separator/>
      </w:r>
    </w:p>
  </w:endnote>
  <w:endnote w:type="continuationSeparator" w:id="0">
    <w:p w:rsidR="00C659DA" w:rsidRDefault="00C659DA" w:rsidP="00C72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884EFD04-93FE-4B65-ADB1-448FFF124217}"/>
    <w:embedBold r:id="rId2" w:fontKey="{37C29B64-0244-4A21-9FFE-14E770AE9FC5}"/>
    <w:embedItalic r:id="rId3" w:fontKey="{FCAE1E33-B8F9-4A6F-8CFD-963330C3C382}"/>
  </w:font>
  <w:font w:name="Proxima Nova Bl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E926635-95EB-4634-9352-C347815A7188}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9DA" w:rsidRDefault="00C659DA" w:rsidP="00C7223F">
      <w:pPr>
        <w:spacing w:after="0" w:line="240" w:lineRule="auto"/>
      </w:pPr>
      <w:r>
        <w:separator/>
      </w:r>
    </w:p>
  </w:footnote>
  <w:footnote w:type="continuationSeparator" w:id="0">
    <w:p w:rsidR="00C659DA" w:rsidRDefault="00C659DA" w:rsidP="00C72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23F" w:rsidRDefault="00C7223F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-719907</wp:posOffset>
          </wp:positionH>
          <wp:positionV relativeFrom="paragraph">
            <wp:posOffset>-450215</wp:posOffset>
          </wp:positionV>
          <wp:extent cx="7559308" cy="10692765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8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FDE" w:rsidRDefault="009D654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58738" cy="10692000"/>
          <wp:effectExtent l="0" t="0" r="444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prezentace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8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E6C9B"/>
    <w:multiLevelType w:val="hybridMultilevel"/>
    <w:tmpl w:val="0288893A"/>
    <w:lvl w:ilvl="0" w:tplc="F90E20FE">
      <w:start w:val="1"/>
      <w:numFmt w:val="decimal"/>
      <w:lvlText w:val="%1)"/>
      <w:lvlJc w:val="left"/>
      <w:pPr>
        <w:ind w:left="477" w:hanging="420"/>
      </w:pPr>
      <w:rPr>
        <w:rFonts w:hint="default"/>
        <w:color w:val="CDA41C" w:themeColor="accent1" w:themeShade="BF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>
    <w:nsid w:val="705A70E6"/>
    <w:multiLevelType w:val="hybridMultilevel"/>
    <w:tmpl w:val="13728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712A97"/>
    <w:rsid w:val="000022BD"/>
    <w:rsid w:val="000030D1"/>
    <w:rsid w:val="00006DA0"/>
    <w:rsid w:val="000072EF"/>
    <w:rsid w:val="00007AB7"/>
    <w:rsid w:val="00011FB7"/>
    <w:rsid w:val="000153DA"/>
    <w:rsid w:val="00015FCC"/>
    <w:rsid w:val="00017A45"/>
    <w:rsid w:val="00020F77"/>
    <w:rsid w:val="00021204"/>
    <w:rsid w:val="00021657"/>
    <w:rsid w:val="00022CE1"/>
    <w:rsid w:val="00023D27"/>
    <w:rsid w:val="000242DA"/>
    <w:rsid w:val="00025465"/>
    <w:rsid w:val="0002564B"/>
    <w:rsid w:val="00025C89"/>
    <w:rsid w:val="00030761"/>
    <w:rsid w:val="000332B1"/>
    <w:rsid w:val="00033605"/>
    <w:rsid w:val="00037E69"/>
    <w:rsid w:val="00037F83"/>
    <w:rsid w:val="000440F0"/>
    <w:rsid w:val="000445C4"/>
    <w:rsid w:val="00046F23"/>
    <w:rsid w:val="00047435"/>
    <w:rsid w:val="000518E8"/>
    <w:rsid w:val="00053F21"/>
    <w:rsid w:val="0005503B"/>
    <w:rsid w:val="00057380"/>
    <w:rsid w:val="0006166A"/>
    <w:rsid w:val="00062210"/>
    <w:rsid w:val="0006228D"/>
    <w:rsid w:val="00064A33"/>
    <w:rsid w:val="00070CAC"/>
    <w:rsid w:val="0007369E"/>
    <w:rsid w:val="000775F9"/>
    <w:rsid w:val="00080F91"/>
    <w:rsid w:val="00082475"/>
    <w:rsid w:val="00087639"/>
    <w:rsid w:val="000940B2"/>
    <w:rsid w:val="00094119"/>
    <w:rsid w:val="000941B5"/>
    <w:rsid w:val="00096DC1"/>
    <w:rsid w:val="00097652"/>
    <w:rsid w:val="000A10CE"/>
    <w:rsid w:val="000A146B"/>
    <w:rsid w:val="000A1E65"/>
    <w:rsid w:val="000A1EB7"/>
    <w:rsid w:val="000A2FC4"/>
    <w:rsid w:val="000A39E3"/>
    <w:rsid w:val="000B05B5"/>
    <w:rsid w:val="000B10B7"/>
    <w:rsid w:val="000B1564"/>
    <w:rsid w:val="000B432F"/>
    <w:rsid w:val="000B4E4C"/>
    <w:rsid w:val="000B59E2"/>
    <w:rsid w:val="000B60DF"/>
    <w:rsid w:val="000C099C"/>
    <w:rsid w:val="000C25C2"/>
    <w:rsid w:val="000C265E"/>
    <w:rsid w:val="000C3547"/>
    <w:rsid w:val="000C3A11"/>
    <w:rsid w:val="000C5808"/>
    <w:rsid w:val="000D1E09"/>
    <w:rsid w:val="000D2A57"/>
    <w:rsid w:val="000E1F45"/>
    <w:rsid w:val="000E2ED1"/>
    <w:rsid w:val="000E3917"/>
    <w:rsid w:val="000E4847"/>
    <w:rsid w:val="000E62DD"/>
    <w:rsid w:val="000E7DB8"/>
    <w:rsid w:val="000F0A58"/>
    <w:rsid w:val="000F2CDC"/>
    <w:rsid w:val="000F3F3A"/>
    <w:rsid w:val="000F575B"/>
    <w:rsid w:val="000F64E8"/>
    <w:rsid w:val="000F75F8"/>
    <w:rsid w:val="00101814"/>
    <w:rsid w:val="00101BAB"/>
    <w:rsid w:val="00102F9E"/>
    <w:rsid w:val="001040F5"/>
    <w:rsid w:val="0010431D"/>
    <w:rsid w:val="00104D9B"/>
    <w:rsid w:val="001051F3"/>
    <w:rsid w:val="00106B98"/>
    <w:rsid w:val="001110DD"/>
    <w:rsid w:val="001116B8"/>
    <w:rsid w:val="001124D6"/>
    <w:rsid w:val="00112CB0"/>
    <w:rsid w:val="00115D3B"/>
    <w:rsid w:val="0012176E"/>
    <w:rsid w:val="001226C0"/>
    <w:rsid w:val="001259C9"/>
    <w:rsid w:val="001263EA"/>
    <w:rsid w:val="001305B8"/>
    <w:rsid w:val="00130760"/>
    <w:rsid w:val="0013118E"/>
    <w:rsid w:val="00131946"/>
    <w:rsid w:val="00132039"/>
    <w:rsid w:val="00132569"/>
    <w:rsid w:val="00142F98"/>
    <w:rsid w:val="00153055"/>
    <w:rsid w:val="00154837"/>
    <w:rsid w:val="001548C0"/>
    <w:rsid w:val="00160BAA"/>
    <w:rsid w:val="0016265B"/>
    <w:rsid w:val="00162A75"/>
    <w:rsid w:val="00167EDE"/>
    <w:rsid w:val="00172496"/>
    <w:rsid w:val="001744B8"/>
    <w:rsid w:val="00177EBA"/>
    <w:rsid w:val="00180DDB"/>
    <w:rsid w:val="00182533"/>
    <w:rsid w:val="00183888"/>
    <w:rsid w:val="00183A0E"/>
    <w:rsid w:val="00183A5E"/>
    <w:rsid w:val="00186263"/>
    <w:rsid w:val="0018729A"/>
    <w:rsid w:val="00187BE0"/>
    <w:rsid w:val="00191EEC"/>
    <w:rsid w:val="001969D6"/>
    <w:rsid w:val="0019726A"/>
    <w:rsid w:val="00197776"/>
    <w:rsid w:val="001A2F2F"/>
    <w:rsid w:val="001A3377"/>
    <w:rsid w:val="001A3E30"/>
    <w:rsid w:val="001A505B"/>
    <w:rsid w:val="001A7EC1"/>
    <w:rsid w:val="001B02AB"/>
    <w:rsid w:val="001B2FDE"/>
    <w:rsid w:val="001B572B"/>
    <w:rsid w:val="001C23E8"/>
    <w:rsid w:val="001C3556"/>
    <w:rsid w:val="001C3B59"/>
    <w:rsid w:val="001C633F"/>
    <w:rsid w:val="001C6EFA"/>
    <w:rsid w:val="001D053C"/>
    <w:rsid w:val="001D1CE1"/>
    <w:rsid w:val="001D5B90"/>
    <w:rsid w:val="001E085E"/>
    <w:rsid w:val="001E640B"/>
    <w:rsid w:val="001E6B3B"/>
    <w:rsid w:val="001E6F6C"/>
    <w:rsid w:val="001E6F7B"/>
    <w:rsid w:val="001F07DA"/>
    <w:rsid w:val="001F28B4"/>
    <w:rsid w:val="001F50E8"/>
    <w:rsid w:val="001F5395"/>
    <w:rsid w:val="00201207"/>
    <w:rsid w:val="00202211"/>
    <w:rsid w:val="0020401E"/>
    <w:rsid w:val="0021085F"/>
    <w:rsid w:val="00212D03"/>
    <w:rsid w:val="002147CC"/>
    <w:rsid w:val="00214B80"/>
    <w:rsid w:val="00214B91"/>
    <w:rsid w:val="0021515B"/>
    <w:rsid w:val="00215F38"/>
    <w:rsid w:val="00220583"/>
    <w:rsid w:val="00221311"/>
    <w:rsid w:val="00221905"/>
    <w:rsid w:val="00221B04"/>
    <w:rsid w:val="0022544F"/>
    <w:rsid w:val="0023140B"/>
    <w:rsid w:val="00233993"/>
    <w:rsid w:val="00234AC6"/>
    <w:rsid w:val="002371E5"/>
    <w:rsid w:val="00243C5C"/>
    <w:rsid w:val="0026003D"/>
    <w:rsid w:val="002604F8"/>
    <w:rsid w:val="002608BE"/>
    <w:rsid w:val="00263D26"/>
    <w:rsid w:val="00264E46"/>
    <w:rsid w:val="002678E0"/>
    <w:rsid w:val="00270397"/>
    <w:rsid w:val="002732F4"/>
    <w:rsid w:val="00273D0E"/>
    <w:rsid w:val="002746C6"/>
    <w:rsid w:val="00281A27"/>
    <w:rsid w:val="00285523"/>
    <w:rsid w:val="002863E5"/>
    <w:rsid w:val="00287356"/>
    <w:rsid w:val="0029050D"/>
    <w:rsid w:val="002908EE"/>
    <w:rsid w:val="00293861"/>
    <w:rsid w:val="00294EE9"/>
    <w:rsid w:val="00295AC0"/>
    <w:rsid w:val="002A0260"/>
    <w:rsid w:val="002A1860"/>
    <w:rsid w:val="002A3F10"/>
    <w:rsid w:val="002A731E"/>
    <w:rsid w:val="002A73C6"/>
    <w:rsid w:val="002B05CE"/>
    <w:rsid w:val="002B26C3"/>
    <w:rsid w:val="002B41FF"/>
    <w:rsid w:val="002B4564"/>
    <w:rsid w:val="002B6402"/>
    <w:rsid w:val="002B72E9"/>
    <w:rsid w:val="002B7A40"/>
    <w:rsid w:val="002C0492"/>
    <w:rsid w:val="002C2F19"/>
    <w:rsid w:val="002C3F31"/>
    <w:rsid w:val="002C7FA3"/>
    <w:rsid w:val="002D0DBB"/>
    <w:rsid w:val="002D31BA"/>
    <w:rsid w:val="002D4E06"/>
    <w:rsid w:val="002D7D34"/>
    <w:rsid w:val="002E3601"/>
    <w:rsid w:val="002E523D"/>
    <w:rsid w:val="002E536A"/>
    <w:rsid w:val="002E60FB"/>
    <w:rsid w:val="002E688B"/>
    <w:rsid w:val="002F00C3"/>
    <w:rsid w:val="002F3868"/>
    <w:rsid w:val="002F4394"/>
    <w:rsid w:val="002F6FE4"/>
    <w:rsid w:val="003002BE"/>
    <w:rsid w:val="00301FC9"/>
    <w:rsid w:val="00302387"/>
    <w:rsid w:val="00302539"/>
    <w:rsid w:val="003065F3"/>
    <w:rsid w:val="003104B4"/>
    <w:rsid w:val="00315318"/>
    <w:rsid w:val="00317A61"/>
    <w:rsid w:val="00317A6D"/>
    <w:rsid w:val="00317C39"/>
    <w:rsid w:val="00321D2F"/>
    <w:rsid w:val="0032416C"/>
    <w:rsid w:val="003243D5"/>
    <w:rsid w:val="003255E2"/>
    <w:rsid w:val="00333E13"/>
    <w:rsid w:val="00333E41"/>
    <w:rsid w:val="00335047"/>
    <w:rsid w:val="003366E3"/>
    <w:rsid w:val="00337662"/>
    <w:rsid w:val="00337C3D"/>
    <w:rsid w:val="00340B3F"/>
    <w:rsid w:val="00346275"/>
    <w:rsid w:val="00350A79"/>
    <w:rsid w:val="00351444"/>
    <w:rsid w:val="00353CD2"/>
    <w:rsid w:val="003632DF"/>
    <w:rsid w:val="003643CD"/>
    <w:rsid w:val="00365054"/>
    <w:rsid w:val="00366A03"/>
    <w:rsid w:val="00370461"/>
    <w:rsid w:val="00372D79"/>
    <w:rsid w:val="00373ADF"/>
    <w:rsid w:val="00375FCC"/>
    <w:rsid w:val="003765B2"/>
    <w:rsid w:val="00377BF3"/>
    <w:rsid w:val="00377C3E"/>
    <w:rsid w:val="00380BA1"/>
    <w:rsid w:val="0039018A"/>
    <w:rsid w:val="0039188D"/>
    <w:rsid w:val="00392EF8"/>
    <w:rsid w:val="00396AEB"/>
    <w:rsid w:val="003A26F5"/>
    <w:rsid w:val="003A3CB9"/>
    <w:rsid w:val="003A408F"/>
    <w:rsid w:val="003A5B68"/>
    <w:rsid w:val="003B02DC"/>
    <w:rsid w:val="003B2520"/>
    <w:rsid w:val="003B2EA7"/>
    <w:rsid w:val="003B35CA"/>
    <w:rsid w:val="003B54E1"/>
    <w:rsid w:val="003B63B3"/>
    <w:rsid w:val="003C23C2"/>
    <w:rsid w:val="003C3D6B"/>
    <w:rsid w:val="003C4CB5"/>
    <w:rsid w:val="003C5146"/>
    <w:rsid w:val="003C5758"/>
    <w:rsid w:val="003C6D4E"/>
    <w:rsid w:val="003C72A6"/>
    <w:rsid w:val="003D06C8"/>
    <w:rsid w:val="003D0CA4"/>
    <w:rsid w:val="003D2641"/>
    <w:rsid w:val="003D3C7C"/>
    <w:rsid w:val="003D3FC5"/>
    <w:rsid w:val="003D65DE"/>
    <w:rsid w:val="003D7341"/>
    <w:rsid w:val="003E2567"/>
    <w:rsid w:val="003E2FF2"/>
    <w:rsid w:val="003E358A"/>
    <w:rsid w:val="003E46ED"/>
    <w:rsid w:val="003E69FB"/>
    <w:rsid w:val="003E6B5B"/>
    <w:rsid w:val="003F0B25"/>
    <w:rsid w:val="003F4931"/>
    <w:rsid w:val="003F54DE"/>
    <w:rsid w:val="0040154C"/>
    <w:rsid w:val="004027E7"/>
    <w:rsid w:val="00404314"/>
    <w:rsid w:val="00404869"/>
    <w:rsid w:val="004065A1"/>
    <w:rsid w:val="0041403C"/>
    <w:rsid w:val="0041661D"/>
    <w:rsid w:val="00421308"/>
    <w:rsid w:val="004213AA"/>
    <w:rsid w:val="00422364"/>
    <w:rsid w:val="004233D7"/>
    <w:rsid w:val="004238D8"/>
    <w:rsid w:val="00426751"/>
    <w:rsid w:val="00430478"/>
    <w:rsid w:val="00430BB2"/>
    <w:rsid w:val="0043458C"/>
    <w:rsid w:val="0043786A"/>
    <w:rsid w:val="00442547"/>
    <w:rsid w:val="00443BD6"/>
    <w:rsid w:val="00452D3C"/>
    <w:rsid w:val="00453CB0"/>
    <w:rsid w:val="004561D6"/>
    <w:rsid w:val="00460F95"/>
    <w:rsid w:val="00463281"/>
    <w:rsid w:val="00470513"/>
    <w:rsid w:val="00472712"/>
    <w:rsid w:val="004759D6"/>
    <w:rsid w:val="0047760A"/>
    <w:rsid w:val="00477BEF"/>
    <w:rsid w:val="00481719"/>
    <w:rsid w:val="0048171B"/>
    <w:rsid w:val="00482242"/>
    <w:rsid w:val="004824E4"/>
    <w:rsid w:val="00482788"/>
    <w:rsid w:val="00482994"/>
    <w:rsid w:val="00482CB1"/>
    <w:rsid w:val="00482DE4"/>
    <w:rsid w:val="004904AB"/>
    <w:rsid w:val="00493141"/>
    <w:rsid w:val="00493D7A"/>
    <w:rsid w:val="0049467B"/>
    <w:rsid w:val="00495420"/>
    <w:rsid w:val="00496CA2"/>
    <w:rsid w:val="004A1D1A"/>
    <w:rsid w:val="004A50A4"/>
    <w:rsid w:val="004A6A96"/>
    <w:rsid w:val="004A70E2"/>
    <w:rsid w:val="004B0E0C"/>
    <w:rsid w:val="004B14CB"/>
    <w:rsid w:val="004B1814"/>
    <w:rsid w:val="004B5E7F"/>
    <w:rsid w:val="004C1962"/>
    <w:rsid w:val="004C1A5D"/>
    <w:rsid w:val="004C41EA"/>
    <w:rsid w:val="004C4B4E"/>
    <w:rsid w:val="004D0227"/>
    <w:rsid w:val="004D1C04"/>
    <w:rsid w:val="004D3EB6"/>
    <w:rsid w:val="004D5756"/>
    <w:rsid w:val="004D5766"/>
    <w:rsid w:val="004D733B"/>
    <w:rsid w:val="004E0D67"/>
    <w:rsid w:val="004E56F3"/>
    <w:rsid w:val="004E78F8"/>
    <w:rsid w:val="004F3CC9"/>
    <w:rsid w:val="004F40B5"/>
    <w:rsid w:val="004F5F69"/>
    <w:rsid w:val="004F7156"/>
    <w:rsid w:val="004F75F1"/>
    <w:rsid w:val="004F7A33"/>
    <w:rsid w:val="005010F4"/>
    <w:rsid w:val="00501CA4"/>
    <w:rsid w:val="00502C0C"/>
    <w:rsid w:val="00502CE6"/>
    <w:rsid w:val="00503767"/>
    <w:rsid w:val="00503FC7"/>
    <w:rsid w:val="00512EE3"/>
    <w:rsid w:val="005132A1"/>
    <w:rsid w:val="00514B74"/>
    <w:rsid w:val="005175B4"/>
    <w:rsid w:val="0052070E"/>
    <w:rsid w:val="00522349"/>
    <w:rsid w:val="005225E3"/>
    <w:rsid w:val="00523535"/>
    <w:rsid w:val="00524373"/>
    <w:rsid w:val="00525EB1"/>
    <w:rsid w:val="005265A6"/>
    <w:rsid w:val="00526DDE"/>
    <w:rsid w:val="00527423"/>
    <w:rsid w:val="00530EB8"/>
    <w:rsid w:val="005336CA"/>
    <w:rsid w:val="00534839"/>
    <w:rsid w:val="00542625"/>
    <w:rsid w:val="00543D8E"/>
    <w:rsid w:val="00544316"/>
    <w:rsid w:val="00545AAC"/>
    <w:rsid w:val="00553050"/>
    <w:rsid w:val="00553708"/>
    <w:rsid w:val="0055399C"/>
    <w:rsid w:val="00560A15"/>
    <w:rsid w:val="00561E86"/>
    <w:rsid w:val="00562CAA"/>
    <w:rsid w:val="00564DBE"/>
    <w:rsid w:val="005652CB"/>
    <w:rsid w:val="00565D65"/>
    <w:rsid w:val="0057195C"/>
    <w:rsid w:val="005726B5"/>
    <w:rsid w:val="00573508"/>
    <w:rsid w:val="00573DC6"/>
    <w:rsid w:val="0057752B"/>
    <w:rsid w:val="0058715B"/>
    <w:rsid w:val="005925BF"/>
    <w:rsid w:val="005928AF"/>
    <w:rsid w:val="00593000"/>
    <w:rsid w:val="00594575"/>
    <w:rsid w:val="0059572C"/>
    <w:rsid w:val="0059748E"/>
    <w:rsid w:val="005A3086"/>
    <w:rsid w:val="005B2660"/>
    <w:rsid w:val="005B2B81"/>
    <w:rsid w:val="005B4EC3"/>
    <w:rsid w:val="005C1841"/>
    <w:rsid w:val="005C548E"/>
    <w:rsid w:val="005C6AFD"/>
    <w:rsid w:val="005D0A49"/>
    <w:rsid w:val="005D2255"/>
    <w:rsid w:val="005D5147"/>
    <w:rsid w:val="005D7E0C"/>
    <w:rsid w:val="005E0C49"/>
    <w:rsid w:val="005E2004"/>
    <w:rsid w:val="005F1341"/>
    <w:rsid w:val="005F17ED"/>
    <w:rsid w:val="005F3179"/>
    <w:rsid w:val="005F538B"/>
    <w:rsid w:val="005F7B7D"/>
    <w:rsid w:val="0060318A"/>
    <w:rsid w:val="00604159"/>
    <w:rsid w:val="00611DBA"/>
    <w:rsid w:val="00621A73"/>
    <w:rsid w:val="00622E01"/>
    <w:rsid w:val="006278FD"/>
    <w:rsid w:val="00627B01"/>
    <w:rsid w:val="00630DF1"/>
    <w:rsid w:val="00636CE6"/>
    <w:rsid w:val="006370E8"/>
    <w:rsid w:val="0063745D"/>
    <w:rsid w:val="00640964"/>
    <w:rsid w:val="00643F1C"/>
    <w:rsid w:val="00647611"/>
    <w:rsid w:val="0065100A"/>
    <w:rsid w:val="0065474C"/>
    <w:rsid w:val="00655DC6"/>
    <w:rsid w:val="00657C4A"/>
    <w:rsid w:val="00660107"/>
    <w:rsid w:val="00660294"/>
    <w:rsid w:val="00664AC0"/>
    <w:rsid w:val="00665070"/>
    <w:rsid w:val="00665BEF"/>
    <w:rsid w:val="0067206A"/>
    <w:rsid w:val="006736C7"/>
    <w:rsid w:val="00676E3C"/>
    <w:rsid w:val="0068124E"/>
    <w:rsid w:val="00682E58"/>
    <w:rsid w:val="00685B77"/>
    <w:rsid w:val="00685DC0"/>
    <w:rsid w:val="006876F7"/>
    <w:rsid w:val="00690DE1"/>
    <w:rsid w:val="006929C2"/>
    <w:rsid w:val="00692B9D"/>
    <w:rsid w:val="006937CA"/>
    <w:rsid w:val="00693C01"/>
    <w:rsid w:val="00694462"/>
    <w:rsid w:val="00697B37"/>
    <w:rsid w:val="006A2031"/>
    <w:rsid w:val="006A6092"/>
    <w:rsid w:val="006A7587"/>
    <w:rsid w:val="006B17CC"/>
    <w:rsid w:val="006B2DB0"/>
    <w:rsid w:val="006B342E"/>
    <w:rsid w:val="006C526D"/>
    <w:rsid w:val="006C638C"/>
    <w:rsid w:val="006C72F7"/>
    <w:rsid w:val="006D29E9"/>
    <w:rsid w:val="006D2D80"/>
    <w:rsid w:val="006E1B4D"/>
    <w:rsid w:val="006E60AA"/>
    <w:rsid w:val="006E7C27"/>
    <w:rsid w:val="0070466C"/>
    <w:rsid w:val="00705804"/>
    <w:rsid w:val="007066EA"/>
    <w:rsid w:val="00712283"/>
    <w:rsid w:val="00712A97"/>
    <w:rsid w:val="007132BE"/>
    <w:rsid w:val="00720063"/>
    <w:rsid w:val="00721A00"/>
    <w:rsid w:val="00726759"/>
    <w:rsid w:val="007338AB"/>
    <w:rsid w:val="00741C04"/>
    <w:rsid w:val="0074225F"/>
    <w:rsid w:val="00742B85"/>
    <w:rsid w:val="0074337E"/>
    <w:rsid w:val="00746C5A"/>
    <w:rsid w:val="00751C46"/>
    <w:rsid w:val="0075496D"/>
    <w:rsid w:val="00756056"/>
    <w:rsid w:val="00756836"/>
    <w:rsid w:val="00760F9E"/>
    <w:rsid w:val="00763197"/>
    <w:rsid w:val="00765B7B"/>
    <w:rsid w:val="00767B1C"/>
    <w:rsid w:val="0077064B"/>
    <w:rsid w:val="007742DB"/>
    <w:rsid w:val="00776216"/>
    <w:rsid w:val="007779E1"/>
    <w:rsid w:val="00777F23"/>
    <w:rsid w:val="00783DD4"/>
    <w:rsid w:val="00784036"/>
    <w:rsid w:val="00785045"/>
    <w:rsid w:val="00790D8B"/>
    <w:rsid w:val="00792338"/>
    <w:rsid w:val="00793C0E"/>
    <w:rsid w:val="00795EC9"/>
    <w:rsid w:val="00796D0C"/>
    <w:rsid w:val="007A4488"/>
    <w:rsid w:val="007A4B64"/>
    <w:rsid w:val="007B07C4"/>
    <w:rsid w:val="007B52FE"/>
    <w:rsid w:val="007B5BE5"/>
    <w:rsid w:val="007B6F09"/>
    <w:rsid w:val="007B733E"/>
    <w:rsid w:val="007B77A0"/>
    <w:rsid w:val="007C080E"/>
    <w:rsid w:val="007C0BDE"/>
    <w:rsid w:val="007C2D33"/>
    <w:rsid w:val="007C54D8"/>
    <w:rsid w:val="007D020A"/>
    <w:rsid w:val="007D0ED1"/>
    <w:rsid w:val="007E06B1"/>
    <w:rsid w:val="007E177B"/>
    <w:rsid w:val="007E3447"/>
    <w:rsid w:val="007E4E08"/>
    <w:rsid w:val="007E5EC2"/>
    <w:rsid w:val="007F00CE"/>
    <w:rsid w:val="007F038F"/>
    <w:rsid w:val="007F16FA"/>
    <w:rsid w:val="007F19E2"/>
    <w:rsid w:val="007F2AB0"/>
    <w:rsid w:val="007F59BE"/>
    <w:rsid w:val="00801932"/>
    <w:rsid w:val="00801FEC"/>
    <w:rsid w:val="0080337B"/>
    <w:rsid w:val="00803622"/>
    <w:rsid w:val="00803D6C"/>
    <w:rsid w:val="0080479C"/>
    <w:rsid w:val="00805A6F"/>
    <w:rsid w:val="0080775E"/>
    <w:rsid w:val="00810F40"/>
    <w:rsid w:val="008119AF"/>
    <w:rsid w:val="00814A17"/>
    <w:rsid w:val="00814BE1"/>
    <w:rsid w:val="00817612"/>
    <w:rsid w:val="00821E87"/>
    <w:rsid w:val="00822468"/>
    <w:rsid w:val="00822D25"/>
    <w:rsid w:val="00823CD4"/>
    <w:rsid w:val="00824877"/>
    <w:rsid w:val="00826737"/>
    <w:rsid w:val="00830C31"/>
    <w:rsid w:val="00831C1D"/>
    <w:rsid w:val="008337F9"/>
    <w:rsid w:val="00834DA4"/>
    <w:rsid w:val="0083515C"/>
    <w:rsid w:val="00836371"/>
    <w:rsid w:val="00842EB8"/>
    <w:rsid w:val="008446BF"/>
    <w:rsid w:val="008452B6"/>
    <w:rsid w:val="0085087B"/>
    <w:rsid w:val="00850CD3"/>
    <w:rsid w:val="00850E3F"/>
    <w:rsid w:val="008601B4"/>
    <w:rsid w:val="00861954"/>
    <w:rsid w:val="0086255E"/>
    <w:rsid w:val="00862ED6"/>
    <w:rsid w:val="008639D5"/>
    <w:rsid w:val="00864061"/>
    <w:rsid w:val="00865DEB"/>
    <w:rsid w:val="00865EF6"/>
    <w:rsid w:val="00867B2D"/>
    <w:rsid w:val="00867DC7"/>
    <w:rsid w:val="0087445D"/>
    <w:rsid w:val="008746ED"/>
    <w:rsid w:val="00876560"/>
    <w:rsid w:val="0088106D"/>
    <w:rsid w:val="0088466C"/>
    <w:rsid w:val="008873BD"/>
    <w:rsid w:val="00892AEC"/>
    <w:rsid w:val="00895521"/>
    <w:rsid w:val="008B48E1"/>
    <w:rsid w:val="008B5149"/>
    <w:rsid w:val="008B67D4"/>
    <w:rsid w:val="008B6BD7"/>
    <w:rsid w:val="008C0E4C"/>
    <w:rsid w:val="008C1F6B"/>
    <w:rsid w:val="008C493D"/>
    <w:rsid w:val="008C5912"/>
    <w:rsid w:val="008C7018"/>
    <w:rsid w:val="008D016A"/>
    <w:rsid w:val="008D28B6"/>
    <w:rsid w:val="008D2FFA"/>
    <w:rsid w:val="008D3F07"/>
    <w:rsid w:val="008D6A72"/>
    <w:rsid w:val="008D6C76"/>
    <w:rsid w:val="008D6DD1"/>
    <w:rsid w:val="008D77E3"/>
    <w:rsid w:val="008E076D"/>
    <w:rsid w:val="008E2C46"/>
    <w:rsid w:val="008E51AC"/>
    <w:rsid w:val="008E53BD"/>
    <w:rsid w:val="008E5F27"/>
    <w:rsid w:val="008E6C7F"/>
    <w:rsid w:val="008E7025"/>
    <w:rsid w:val="008F08CE"/>
    <w:rsid w:val="008F288B"/>
    <w:rsid w:val="008F3705"/>
    <w:rsid w:val="008F400D"/>
    <w:rsid w:val="008F5A4B"/>
    <w:rsid w:val="008F5BDB"/>
    <w:rsid w:val="008F6A16"/>
    <w:rsid w:val="00901812"/>
    <w:rsid w:val="00902819"/>
    <w:rsid w:val="00906B9B"/>
    <w:rsid w:val="00907038"/>
    <w:rsid w:val="009072F5"/>
    <w:rsid w:val="0090732C"/>
    <w:rsid w:val="009107B1"/>
    <w:rsid w:val="009132D8"/>
    <w:rsid w:val="00913E63"/>
    <w:rsid w:val="00920665"/>
    <w:rsid w:val="009223B8"/>
    <w:rsid w:val="00923275"/>
    <w:rsid w:val="009259DE"/>
    <w:rsid w:val="00926C15"/>
    <w:rsid w:val="0093277C"/>
    <w:rsid w:val="00932A65"/>
    <w:rsid w:val="009338BD"/>
    <w:rsid w:val="00936955"/>
    <w:rsid w:val="009405EE"/>
    <w:rsid w:val="00940C2A"/>
    <w:rsid w:val="00942296"/>
    <w:rsid w:val="00947C2F"/>
    <w:rsid w:val="00956572"/>
    <w:rsid w:val="00957005"/>
    <w:rsid w:val="00960778"/>
    <w:rsid w:val="00964238"/>
    <w:rsid w:val="00967349"/>
    <w:rsid w:val="00972BC2"/>
    <w:rsid w:val="009730F4"/>
    <w:rsid w:val="0097370E"/>
    <w:rsid w:val="00983A66"/>
    <w:rsid w:val="0098407F"/>
    <w:rsid w:val="00984C47"/>
    <w:rsid w:val="00986F28"/>
    <w:rsid w:val="00990120"/>
    <w:rsid w:val="009937BE"/>
    <w:rsid w:val="00993F84"/>
    <w:rsid w:val="00995F2C"/>
    <w:rsid w:val="009972B7"/>
    <w:rsid w:val="00997BB4"/>
    <w:rsid w:val="009A16A6"/>
    <w:rsid w:val="009A22E8"/>
    <w:rsid w:val="009A3846"/>
    <w:rsid w:val="009A4108"/>
    <w:rsid w:val="009A62D1"/>
    <w:rsid w:val="009A6575"/>
    <w:rsid w:val="009A7003"/>
    <w:rsid w:val="009A7B79"/>
    <w:rsid w:val="009B1811"/>
    <w:rsid w:val="009B1847"/>
    <w:rsid w:val="009B1A0B"/>
    <w:rsid w:val="009B2495"/>
    <w:rsid w:val="009B28E0"/>
    <w:rsid w:val="009B2BFE"/>
    <w:rsid w:val="009B4CB7"/>
    <w:rsid w:val="009C74B1"/>
    <w:rsid w:val="009D241A"/>
    <w:rsid w:val="009D2C1A"/>
    <w:rsid w:val="009D2F91"/>
    <w:rsid w:val="009D654A"/>
    <w:rsid w:val="009E2604"/>
    <w:rsid w:val="009E6204"/>
    <w:rsid w:val="009E6E95"/>
    <w:rsid w:val="009F1727"/>
    <w:rsid w:val="009F29F3"/>
    <w:rsid w:val="009F2B42"/>
    <w:rsid w:val="009F58EC"/>
    <w:rsid w:val="009F69FA"/>
    <w:rsid w:val="00A000C6"/>
    <w:rsid w:val="00A02D77"/>
    <w:rsid w:val="00A034EC"/>
    <w:rsid w:val="00A04AAA"/>
    <w:rsid w:val="00A073B2"/>
    <w:rsid w:val="00A10E9C"/>
    <w:rsid w:val="00A15F52"/>
    <w:rsid w:val="00A168A0"/>
    <w:rsid w:val="00A17A37"/>
    <w:rsid w:val="00A17D2A"/>
    <w:rsid w:val="00A17D85"/>
    <w:rsid w:val="00A221EE"/>
    <w:rsid w:val="00A24C55"/>
    <w:rsid w:val="00A25AEE"/>
    <w:rsid w:val="00A27670"/>
    <w:rsid w:val="00A309BE"/>
    <w:rsid w:val="00A309E5"/>
    <w:rsid w:val="00A3234B"/>
    <w:rsid w:val="00A328FF"/>
    <w:rsid w:val="00A32F48"/>
    <w:rsid w:val="00A35AD5"/>
    <w:rsid w:val="00A3656F"/>
    <w:rsid w:val="00A372FF"/>
    <w:rsid w:val="00A37E29"/>
    <w:rsid w:val="00A434F8"/>
    <w:rsid w:val="00A435A3"/>
    <w:rsid w:val="00A43CA9"/>
    <w:rsid w:val="00A45BE0"/>
    <w:rsid w:val="00A4718C"/>
    <w:rsid w:val="00A53543"/>
    <w:rsid w:val="00A548FF"/>
    <w:rsid w:val="00A55A86"/>
    <w:rsid w:val="00A56A45"/>
    <w:rsid w:val="00A5749C"/>
    <w:rsid w:val="00A612F5"/>
    <w:rsid w:val="00A613E5"/>
    <w:rsid w:val="00A614FE"/>
    <w:rsid w:val="00A61D14"/>
    <w:rsid w:val="00A62352"/>
    <w:rsid w:val="00A63BFD"/>
    <w:rsid w:val="00A647FB"/>
    <w:rsid w:val="00A67A68"/>
    <w:rsid w:val="00A70366"/>
    <w:rsid w:val="00A70469"/>
    <w:rsid w:val="00A711F1"/>
    <w:rsid w:val="00A7299D"/>
    <w:rsid w:val="00A755A2"/>
    <w:rsid w:val="00A805D1"/>
    <w:rsid w:val="00A81D77"/>
    <w:rsid w:val="00A82DD2"/>
    <w:rsid w:val="00A84F3E"/>
    <w:rsid w:val="00A86FD9"/>
    <w:rsid w:val="00A91AA1"/>
    <w:rsid w:val="00A926D6"/>
    <w:rsid w:val="00A9304B"/>
    <w:rsid w:val="00A95099"/>
    <w:rsid w:val="00A95463"/>
    <w:rsid w:val="00AA1108"/>
    <w:rsid w:val="00AA27C1"/>
    <w:rsid w:val="00AA37D7"/>
    <w:rsid w:val="00AA58DA"/>
    <w:rsid w:val="00AB00D9"/>
    <w:rsid w:val="00AB1415"/>
    <w:rsid w:val="00AB2F0F"/>
    <w:rsid w:val="00AB6755"/>
    <w:rsid w:val="00AC1BB4"/>
    <w:rsid w:val="00AC1D40"/>
    <w:rsid w:val="00AC1DFA"/>
    <w:rsid w:val="00AC3230"/>
    <w:rsid w:val="00AC55D8"/>
    <w:rsid w:val="00AD2FB0"/>
    <w:rsid w:val="00AD3613"/>
    <w:rsid w:val="00AD36D4"/>
    <w:rsid w:val="00AD7439"/>
    <w:rsid w:val="00AE07A3"/>
    <w:rsid w:val="00AE0882"/>
    <w:rsid w:val="00AE3B03"/>
    <w:rsid w:val="00AE6E8C"/>
    <w:rsid w:val="00AF174D"/>
    <w:rsid w:val="00AF2537"/>
    <w:rsid w:val="00AF30DE"/>
    <w:rsid w:val="00AF375E"/>
    <w:rsid w:val="00AF59AB"/>
    <w:rsid w:val="00AF5D3D"/>
    <w:rsid w:val="00AF6379"/>
    <w:rsid w:val="00B00002"/>
    <w:rsid w:val="00B02D80"/>
    <w:rsid w:val="00B05125"/>
    <w:rsid w:val="00B05659"/>
    <w:rsid w:val="00B06D36"/>
    <w:rsid w:val="00B10D21"/>
    <w:rsid w:val="00B123AF"/>
    <w:rsid w:val="00B13481"/>
    <w:rsid w:val="00B15DA8"/>
    <w:rsid w:val="00B2249C"/>
    <w:rsid w:val="00B2296F"/>
    <w:rsid w:val="00B24070"/>
    <w:rsid w:val="00B2410D"/>
    <w:rsid w:val="00B26965"/>
    <w:rsid w:val="00B34440"/>
    <w:rsid w:val="00B3479E"/>
    <w:rsid w:val="00B40A83"/>
    <w:rsid w:val="00B41035"/>
    <w:rsid w:val="00B4214A"/>
    <w:rsid w:val="00B45E4E"/>
    <w:rsid w:val="00B46BCD"/>
    <w:rsid w:val="00B46CD8"/>
    <w:rsid w:val="00B473D0"/>
    <w:rsid w:val="00B50611"/>
    <w:rsid w:val="00B5238F"/>
    <w:rsid w:val="00B53C91"/>
    <w:rsid w:val="00B54C13"/>
    <w:rsid w:val="00B55FBB"/>
    <w:rsid w:val="00B55FCB"/>
    <w:rsid w:val="00B56359"/>
    <w:rsid w:val="00B56E65"/>
    <w:rsid w:val="00B57204"/>
    <w:rsid w:val="00B602F8"/>
    <w:rsid w:val="00B6091A"/>
    <w:rsid w:val="00B62B67"/>
    <w:rsid w:val="00B64ED8"/>
    <w:rsid w:val="00B65202"/>
    <w:rsid w:val="00B6645D"/>
    <w:rsid w:val="00B678A0"/>
    <w:rsid w:val="00B67FDB"/>
    <w:rsid w:val="00B7197E"/>
    <w:rsid w:val="00B71B92"/>
    <w:rsid w:val="00B71D8A"/>
    <w:rsid w:val="00B72C97"/>
    <w:rsid w:val="00B73460"/>
    <w:rsid w:val="00B73856"/>
    <w:rsid w:val="00B75F75"/>
    <w:rsid w:val="00B82B71"/>
    <w:rsid w:val="00B84FFE"/>
    <w:rsid w:val="00B8680B"/>
    <w:rsid w:val="00B91202"/>
    <w:rsid w:val="00B94426"/>
    <w:rsid w:val="00B9583D"/>
    <w:rsid w:val="00B96889"/>
    <w:rsid w:val="00BA1D93"/>
    <w:rsid w:val="00BA46BA"/>
    <w:rsid w:val="00BA6B76"/>
    <w:rsid w:val="00BA74C7"/>
    <w:rsid w:val="00BA7A30"/>
    <w:rsid w:val="00BA7D0B"/>
    <w:rsid w:val="00BB2266"/>
    <w:rsid w:val="00BB2772"/>
    <w:rsid w:val="00BB4667"/>
    <w:rsid w:val="00BB5CE0"/>
    <w:rsid w:val="00BB6631"/>
    <w:rsid w:val="00BB6646"/>
    <w:rsid w:val="00BB71A7"/>
    <w:rsid w:val="00BB742D"/>
    <w:rsid w:val="00BC09C4"/>
    <w:rsid w:val="00BC1CDB"/>
    <w:rsid w:val="00BC2193"/>
    <w:rsid w:val="00BC2BDA"/>
    <w:rsid w:val="00BC7715"/>
    <w:rsid w:val="00BC7E4F"/>
    <w:rsid w:val="00BD2193"/>
    <w:rsid w:val="00BD6044"/>
    <w:rsid w:val="00BD68D3"/>
    <w:rsid w:val="00BD699A"/>
    <w:rsid w:val="00BE2127"/>
    <w:rsid w:val="00BE4521"/>
    <w:rsid w:val="00BE79EA"/>
    <w:rsid w:val="00BE7F29"/>
    <w:rsid w:val="00BF0745"/>
    <w:rsid w:val="00BF251A"/>
    <w:rsid w:val="00BF3787"/>
    <w:rsid w:val="00BF52C3"/>
    <w:rsid w:val="00BF6371"/>
    <w:rsid w:val="00BF729B"/>
    <w:rsid w:val="00C00004"/>
    <w:rsid w:val="00C013CC"/>
    <w:rsid w:val="00C03C4E"/>
    <w:rsid w:val="00C047E4"/>
    <w:rsid w:val="00C04B83"/>
    <w:rsid w:val="00C057B2"/>
    <w:rsid w:val="00C057E7"/>
    <w:rsid w:val="00C07DC2"/>
    <w:rsid w:val="00C10809"/>
    <w:rsid w:val="00C12BEB"/>
    <w:rsid w:val="00C137BD"/>
    <w:rsid w:val="00C14F57"/>
    <w:rsid w:val="00C16AA3"/>
    <w:rsid w:val="00C16B2E"/>
    <w:rsid w:val="00C20EDC"/>
    <w:rsid w:val="00C2319A"/>
    <w:rsid w:val="00C2654F"/>
    <w:rsid w:val="00C26EE9"/>
    <w:rsid w:val="00C30FBB"/>
    <w:rsid w:val="00C31258"/>
    <w:rsid w:val="00C33926"/>
    <w:rsid w:val="00C339DC"/>
    <w:rsid w:val="00C35003"/>
    <w:rsid w:val="00C426D7"/>
    <w:rsid w:val="00C42A57"/>
    <w:rsid w:val="00C473A6"/>
    <w:rsid w:val="00C50BDB"/>
    <w:rsid w:val="00C53CF5"/>
    <w:rsid w:val="00C568A3"/>
    <w:rsid w:val="00C632AC"/>
    <w:rsid w:val="00C659DA"/>
    <w:rsid w:val="00C65C58"/>
    <w:rsid w:val="00C706AE"/>
    <w:rsid w:val="00C70CA3"/>
    <w:rsid w:val="00C7183C"/>
    <w:rsid w:val="00C71C0B"/>
    <w:rsid w:val="00C7223F"/>
    <w:rsid w:val="00C72C50"/>
    <w:rsid w:val="00C73791"/>
    <w:rsid w:val="00C74C29"/>
    <w:rsid w:val="00C75288"/>
    <w:rsid w:val="00C77348"/>
    <w:rsid w:val="00C77403"/>
    <w:rsid w:val="00C775B3"/>
    <w:rsid w:val="00C77FAC"/>
    <w:rsid w:val="00C81F8B"/>
    <w:rsid w:val="00C82E05"/>
    <w:rsid w:val="00C84358"/>
    <w:rsid w:val="00C85D4E"/>
    <w:rsid w:val="00C86A14"/>
    <w:rsid w:val="00C902F0"/>
    <w:rsid w:val="00C943C9"/>
    <w:rsid w:val="00CA069D"/>
    <w:rsid w:val="00CA0C99"/>
    <w:rsid w:val="00CA4C10"/>
    <w:rsid w:val="00CA7327"/>
    <w:rsid w:val="00CB0810"/>
    <w:rsid w:val="00CB0E44"/>
    <w:rsid w:val="00CB4BFA"/>
    <w:rsid w:val="00CB5BD4"/>
    <w:rsid w:val="00CB6C2A"/>
    <w:rsid w:val="00CC130B"/>
    <w:rsid w:val="00CC20C7"/>
    <w:rsid w:val="00CD324F"/>
    <w:rsid w:val="00CD533E"/>
    <w:rsid w:val="00CD54EF"/>
    <w:rsid w:val="00CD73CC"/>
    <w:rsid w:val="00CE0E51"/>
    <w:rsid w:val="00CE367A"/>
    <w:rsid w:val="00CE3CA7"/>
    <w:rsid w:val="00CE66E2"/>
    <w:rsid w:val="00CF0F6F"/>
    <w:rsid w:val="00CF2290"/>
    <w:rsid w:val="00CF2C09"/>
    <w:rsid w:val="00D24F1A"/>
    <w:rsid w:val="00D26A19"/>
    <w:rsid w:val="00D30629"/>
    <w:rsid w:val="00D30A9A"/>
    <w:rsid w:val="00D3223E"/>
    <w:rsid w:val="00D344F1"/>
    <w:rsid w:val="00D35970"/>
    <w:rsid w:val="00D35A78"/>
    <w:rsid w:val="00D406C0"/>
    <w:rsid w:val="00D419C9"/>
    <w:rsid w:val="00D443FC"/>
    <w:rsid w:val="00D456F3"/>
    <w:rsid w:val="00D457C4"/>
    <w:rsid w:val="00D468B4"/>
    <w:rsid w:val="00D525AB"/>
    <w:rsid w:val="00D6090A"/>
    <w:rsid w:val="00D60960"/>
    <w:rsid w:val="00D622A2"/>
    <w:rsid w:val="00D62978"/>
    <w:rsid w:val="00D663C7"/>
    <w:rsid w:val="00D67683"/>
    <w:rsid w:val="00D7008E"/>
    <w:rsid w:val="00D70C5E"/>
    <w:rsid w:val="00D72422"/>
    <w:rsid w:val="00D72D78"/>
    <w:rsid w:val="00D733A4"/>
    <w:rsid w:val="00D76F0B"/>
    <w:rsid w:val="00D844F7"/>
    <w:rsid w:val="00D847C0"/>
    <w:rsid w:val="00D91650"/>
    <w:rsid w:val="00D920A5"/>
    <w:rsid w:val="00D96913"/>
    <w:rsid w:val="00DA06E5"/>
    <w:rsid w:val="00DA5C84"/>
    <w:rsid w:val="00DA6497"/>
    <w:rsid w:val="00DB1CD8"/>
    <w:rsid w:val="00DB1FAF"/>
    <w:rsid w:val="00DB4084"/>
    <w:rsid w:val="00DB5202"/>
    <w:rsid w:val="00DC128D"/>
    <w:rsid w:val="00DC135A"/>
    <w:rsid w:val="00DC22AF"/>
    <w:rsid w:val="00DC573E"/>
    <w:rsid w:val="00DC65F0"/>
    <w:rsid w:val="00DC68D6"/>
    <w:rsid w:val="00DE1957"/>
    <w:rsid w:val="00DE19FB"/>
    <w:rsid w:val="00DE40AB"/>
    <w:rsid w:val="00DE4D68"/>
    <w:rsid w:val="00DE4EEE"/>
    <w:rsid w:val="00DF09AD"/>
    <w:rsid w:val="00DF0B20"/>
    <w:rsid w:val="00DF18DB"/>
    <w:rsid w:val="00DF2D65"/>
    <w:rsid w:val="00DF3EB3"/>
    <w:rsid w:val="00DF5E32"/>
    <w:rsid w:val="00E05EDC"/>
    <w:rsid w:val="00E06A7A"/>
    <w:rsid w:val="00E06C1D"/>
    <w:rsid w:val="00E070A3"/>
    <w:rsid w:val="00E156B6"/>
    <w:rsid w:val="00E162B5"/>
    <w:rsid w:val="00E16A7E"/>
    <w:rsid w:val="00E17361"/>
    <w:rsid w:val="00E17613"/>
    <w:rsid w:val="00E20CDD"/>
    <w:rsid w:val="00E20DE8"/>
    <w:rsid w:val="00E2152C"/>
    <w:rsid w:val="00E2156E"/>
    <w:rsid w:val="00E25CB1"/>
    <w:rsid w:val="00E3103E"/>
    <w:rsid w:val="00E31BFE"/>
    <w:rsid w:val="00E35C17"/>
    <w:rsid w:val="00E40D3F"/>
    <w:rsid w:val="00E4405C"/>
    <w:rsid w:val="00E44B08"/>
    <w:rsid w:val="00E51189"/>
    <w:rsid w:val="00E51F85"/>
    <w:rsid w:val="00E53C72"/>
    <w:rsid w:val="00E555EC"/>
    <w:rsid w:val="00E61612"/>
    <w:rsid w:val="00E647D0"/>
    <w:rsid w:val="00E649C8"/>
    <w:rsid w:val="00E70090"/>
    <w:rsid w:val="00E72097"/>
    <w:rsid w:val="00E7542B"/>
    <w:rsid w:val="00E870A8"/>
    <w:rsid w:val="00E872E9"/>
    <w:rsid w:val="00E90F01"/>
    <w:rsid w:val="00E91933"/>
    <w:rsid w:val="00E93282"/>
    <w:rsid w:val="00EA051D"/>
    <w:rsid w:val="00EA1D4F"/>
    <w:rsid w:val="00EA5B7A"/>
    <w:rsid w:val="00EA6437"/>
    <w:rsid w:val="00EA739B"/>
    <w:rsid w:val="00EA7CD7"/>
    <w:rsid w:val="00EB0023"/>
    <w:rsid w:val="00EB19EF"/>
    <w:rsid w:val="00EB1CC3"/>
    <w:rsid w:val="00EB1F39"/>
    <w:rsid w:val="00EB3640"/>
    <w:rsid w:val="00EB46AF"/>
    <w:rsid w:val="00EB4ECE"/>
    <w:rsid w:val="00EB650D"/>
    <w:rsid w:val="00EB74B0"/>
    <w:rsid w:val="00EB78A9"/>
    <w:rsid w:val="00EC039A"/>
    <w:rsid w:val="00EC072C"/>
    <w:rsid w:val="00EC1609"/>
    <w:rsid w:val="00EC16D0"/>
    <w:rsid w:val="00EC36A5"/>
    <w:rsid w:val="00EC5C06"/>
    <w:rsid w:val="00ED3063"/>
    <w:rsid w:val="00ED375A"/>
    <w:rsid w:val="00ED4817"/>
    <w:rsid w:val="00EE1557"/>
    <w:rsid w:val="00EE176C"/>
    <w:rsid w:val="00EE1F0A"/>
    <w:rsid w:val="00EE2A87"/>
    <w:rsid w:val="00EE3000"/>
    <w:rsid w:val="00EE50F1"/>
    <w:rsid w:val="00EE5353"/>
    <w:rsid w:val="00EE72B4"/>
    <w:rsid w:val="00EF100A"/>
    <w:rsid w:val="00EF231A"/>
    <w:rsid w:val="00EF3790"/>
    <w:rsid w:val="00EF7945"/>
    <w:rsid w:val="00F00E62"/>
    <w:rsid w:val="00F01556"/>
    <w:rsid w:val="00F044A4"/>
    <w:rsid w:val="00F04B07"/>
    <w:rsid w:val="00F077CD"/>
    <w:rsid w:val="00F11B4F"/>
    <w:rsid w:val="00F14AD7"/>
    <w:rsid w:val="00F15513"/>
    <w:rsid w:val="00F15F80"/>
    <w:rsid w:val="00F16261"/>
    <w:rsid w:val="00F16BD2"/>
    <w:rsid w:val="00F17542"/>
    <w:rsid w:val="00F216BE"/>
    <w:rsid w:val="00F21826"/>
    <w:rsid w:val="00F25817"/>
    <w:rsid w:val="00F25C23"/>
    <w:rsid w:val="00F31100"/>
    <w:rsid w:val="00F319B1"/>
    <w:rsid w:val="00F32B22"/>
    <w:rsid w:val="00F40954"/>
    <w:rsid w:val="00F40CCB"/>
    <w:rsid w:val="00F41027"/>
    <w:rsid w:val="00F415F1"/>
    <w:rsid w:val="00F42C64"/>
    <w:rsid w:val="00F45CE0"/>
    <w:rsid w:val="00F507AC"/>
    <w:rsid w:val="00F5122D"/>
    <w:rsid w:val="00F512C7"/>
    <w:rsid w:val="00F53EB8"/>
    <w:rsid w:val="00F60D4C"/>
    <w:rsid w:val="00F65E59"/>
    <w:rsid w:val="00F66B45"/>
    <w:rsid w:val="00F67D14"/>
    <w:rsid w:val="00F73978"/>
    <w:rsid w:val="00F74F02"/>
    <w:rsid w:val="00F7763F"/>
    <w:rsid w:val="00F82003"/>
    <w:rsid w:val="00F83336"/>
    <w:rsid w:val="00F85A5E"/>
    <w:rsid w:val="00F86B38"/>
    <w:rsid w:val="00F87035"/>
    <w:rsid w:val="00F873A2"/>
    <w:rsid w:val="00F920B7"/>
    <w:rsid w:val="00F9261F"/>
    <w:rsid w:val="00F92EE9"/>
    <w:rsid w:val="00F935B7"/>
    <w:rsid w:val="00F97F81"/>
    <w:rsid w:val="00FA1F63"/>
    <w:rsid w:val="00FA3766"/>
    <w:rsid w:val="00FB0B0D"/>
    <w:rsid w:val="00FB176E"/>
    <w:rsid w:val="00FB1E5B"/>
    <w:rsid w:val="00FB276C"/>
    <w:rsid w:val="00FB6C9D"/>
    <w:rsid w:val="00FB6FFC"/>
    <w:rsid w:val="00FC0A21"/>
    <w:rsid w:val="00FC3180"/>
    <w:rsid w:val="00FC36F3"/>
    <w:rsid w:val="00FC3F88"/>
    <w:rsid w:val="00FC43B0"/>
    <w:rsid w:val="00FC466B"/>
    <w:rsid w:val="00FC73FE"/>
    <w:rsid w:val="00FD0EDC"/>
    <w:rsid w:val="00FD1EC1"/>
    <w:rsid w:val="00FD2A74"/>
    <w:rsid w:val="00FD2FCB"/>
    <w:rsid w:val="00FD3BF8"/>
    <w:rsid w:val="00FD4B67"/>
    <w:rsid w:val="00FD7871"/>
    <w:rsid w:val="00FD7FFD"/>
    <w:rsid w:val="00FE24E5"/>
    <w:rsid w:val="00FE26CD"/>
    <w:rsid w:val="00FE4DD2"/>
    <w:rsid w:val="00FE603B"/>
    <w:rsid w:val="00FF07B3"/>
    <w:rsid w:val="00FF1026"/>
    <w:rsid w:val="00FF2DA2"/>
    <w:rsid w:val="00FF2EA6"/>
    <w:rsid w:val="00FF5E58"/>
    <w:rsid w:val="00FF6706"/>
    <w:rsid w:val="00FF7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654A"/>
    <w:pPr>
      <w:spacing w:line="360" w:lineRule="auto"/>
    </w:pPr>
    <w:rPr>
      <w:sz w:val="28"/>
    </w:rPr>
  </w:style>
  <w:style w:type="paragraph" w:styleId="Nadpis1">
    <w:name w:val="heading 1"/>
    <w:basedOn w:val="Normln"/>
    <w:next w:val="Normln"/>
    <w:link w:val="Nadpis1Char"/>
    <w:uiPriority w:val="9"/>
    <w:qFormat/>
    <w:rsid w:val="00783DD4"/>
    <w:pPr>
      <w:keepNext/>
      <w:keepLines/>
      <w:pBdr>
        <w:bottom w:val="single" w:sz="24" w:space="1" w:color="26967E" w:themeColor="text1"/>
      </w:pBdr>
      <w:spacing w:before="400" w:line="240" w:lineRule="auto"/>
      <w:outlineLvl w:val="0"/>
    </w:pPr>
    <w:rPr>
      <w:rFonts w:asciiTheme="majorHAnsi" w:eastAsiaTheme="majorEastAsia" w:hAnsiTheme="majorHAnsi" w:cstheme="majorBidi"/>
      <w:b/>
      <w:bCs/>
      <w:color w:val="26967E" w:themeColor="text1"/>
      <w:sz w:val="5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83DD4"/>
    <w:pPr>
      <w:keepNext/>
      <w:keepLines/>
      <w:pBdr>
        <w:bottom w:val="single" w:sz="24" w:space="1" w:color="00B5AC" w:themeColor="text2"/>
      </w:pBdr>
      <w:spacing w:before="300" w:line="240" w:lineRule="auto"/>
      <w:outlineLvl w:val="1"/>
    </w:pPr>
    <w:rPr>
      <w:rFonts w:asciiTheme="majorHAnsi" w:eastAsiaTheme="majorEastAsia" w:hAnsiTheme="majorHAnsi" w:cstheme="majorBidi"/>
      <w:b/>
      <w:bCs/>
      <w:color w:val="00B5AC" w:themeColor="text2"/>
      <w:sz w:val="4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83DD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E7C452" w:themeColor="accent1"/>
      <w:sz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2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223F"/>
  </w:style>
  <w:style w:type="paragraph" w:styleId="Zpat">
    <w:name w:val="footer"/>
    <w:basedOn w:val="Normln"/>
    <w:link w:val="ZpatChar"/>
    <w:uiPriority w:val="99"/>
    <w:unhideWhenUsed/>
    <w:rsid w:val="00C72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223F"/>
  </w:style>
  <w:style w:type="paragraph" w:styleId="Textbubliny">
    <w:name w:val="Balloon Text"/>
    <w:basedOn w:val="Normln"/>
    <w:link w:val="TextbublinyChar"/>
    <w:uiPriority w:val="99"/>
    <w:semiHidden/>
    <w:unhideWhenUsed/>
    <w:rsid w:val="00C7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223F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9D654A"/>
    <w:pPr>
      <w:pBdr>
        <w:bottom w:val="single" w:sz="8" w:space="4" w:color="E7C45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8780" w:themeColor="text2" w:themeShade="BF"/>
      <w:spacing w:val="5"/>
      <w:kern w:val="28"/>
      <w:sz w:val="144"/>
      <w:szCs w:val="52"/>
      <w:u w:val="single"/>
    </w:rPr>
  </w:style>
  <w:style w:type="character" w:customStyle="1" w:styleId="NzevChar">
    <w:name w:val="Název Char"/>
    <w:basedOn w:val="Standardnpsmoodstavce"/>
    <w:link w:val="Nzev"/>
    <w:uiPriority w:val="10"/>
    <w:rsid w:val="009D654A"/>
    <w:rPr>
      <w:rFonts w:asciiTheme="majorHAnsi" w:eastAsiaTheme="majorEastAsia" w:hAnsiTheme="majorHAnsi" w:cstheme="majorBidi"/>
      <w:color w:val="008780" w:themeColor="text2" w:themeShade="BF"/>
      <w:spacing w:val="5"/>
      <w:kern w:val="28"/>
      <w:sz w:val="144"/>
      <w:szCs w:val="52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9D654A"/>
    <w:pPr>
      <w:numPr>
        <w:ilvl w:val="1"/>
      </w:numPr>
      <w:spacing w:line="240" w:lineRule="auto"/>
      <w:jc w:val="center"/>
    </w:pPr>
    <w:rPr>
      <w:rFonts w:ascii="Proxima Nova Rg" w:eastAsiaTheme="majorEastAsia" w:hAnsi="Proxima Nova Rg" w:cstheme="majorBidi"/>
      <w:iCs/>
      <w:color w:val="FFFFFF" w:themeColor="background1"/>
      <w:spacing w:val="15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9D654A"/>
    <w:rPr>
      <w:rFonts w:ascii="Proxima Nova Rg" w:eastAsiaTheme="majorEastAsia" w:hAnsi="Proxima Nova Rg" w:cstheme="majorBidi"/>
      <w:iCs/>
      <w:color w:val="FFFFFF" w:themeColor="background1"/>
      <w:spacing w:val="15"/>
      <w:sz w:val="36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783DD4"/>
    <w:rPr>
      <w:rFonts w:asciiTheme="majorHAnsi" w:eastAsiaTheme="majorEastAsia" w:hAnsiTheme="majorHAnsi" w:cstheme="majorBidi"/>
      <w:b/>
      <w:bCs/>
      <w:color w:val="26967E" w:themeColor="text1"/>
      <w:sz w:val="5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783DD4"/>
    <w:rPr>
      <w:rFonts w:asciiTheme="majorHAnsi" w:eastAsiaTheme="majorEastAsia" w:hAnsiTheme="majorHAnsi" w:cstheme="majorBidi"/>
      <w:b/>
      <w:bCs/>
      <w:color w:val="00B5AC" w:themeColor="text2"/>
      <w:sz w:val="4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83DD4"/>
    <w:rPr>
      <w:rFonts w:asciiTheme="majorHAnsi" w:eastAsiaTheme="majorEastAsia" w:hAnsiTheme="majorHAnsi" w:cstheme="majorBidi"/>
      <w:b/>
      <w:bCs/>
      <w:color w:val="E7C452" w:themeColor="accent1"/>
      <w:sz w:val="36"/>
    </w:rPr>
  </w:style>
  <w:style w:type="paragraph" w:styleId="Odstavecseseznamem">
    <w:name w:val="List Paragraph"/>
    <w:basedOn w:val="Normln"/>
    <w:uiPriority w:val="34"/>
    <w:qFormat/>
    <w:rsid w:val="00783DD4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4A6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4A6A96"/>
    <w:rPr>
      <w:i/>
      <w:iCs/>
    </w:rPr>
  </w:style>
  <w:style w:type="character" w:styleId="Siln">
    <w:name w:val="Strong"/>
    <w:basedOn w:val="Standardnpsmoodstavce"/>
    <w:uiPriority w:val="22"/>
    <w:qFormat/>
    <w:rsid w:val="004A6A96"/>
    <w:rPr>
      <w:b/>
      <w:bCs/>
    </w:rPr>
  </w:style>
  <w:style w:type="character" w:customStyle="1" w:styleId="apple-converted-space">
    <w:name w:val="apple-converted-space"/>
    <w:basedOn w:val="Standardnpsmoodstavce"/>
    <w:rsid w:val="004A6A96"/>
  </w:style>
  <w:style w:type="character" w:styleId="Hypertextovodkaz">
    <w:name w:val="Hyperlink"/>
    <w:basedOn w:val="Standardnpsmoodstavce"/>
    <w:uiPriority w:val="99"/>
    <w:unhideWhenUsed/>
    <w:rsid w:val="009A22E8"/>
    <w:rPr>
      <w:color w:val="145043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54A"/>
    <w:pPr>
      <w:spacing w:line="360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D4"/>
    <w:pPr>
      <w:keepNext/>
      <w:keepLines/>
      <w:pBdr>
        <w:bottom w:val="single" w:sz="24" w:space="1" w:color="26967E" w:themeColor="text1"/>
      </w:pBdr>
      <w:spacing w:before="400" w:line="240" w:lineRule="auto"/>
      <w:outlineLvl w:val="0"/>
    </w:pPr>
    <w:rPr>
      <w:rFonts w:asciiTheme="majorHAnsi" w:eastAsiaTheme="majorEastAsia" w:hAnsiTheme="majorHAnsi" w:cstheme="majorBidi"/>
      <w:b/>
      <w:bCs/>
      <w:color w:val="26967E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D4"/>
    <w:pPr>
      <w:keepNext/>
      <w:keepLines/>
      <w:pBdr>
        <w:bottom w:val="single" w:sz="24" w:space="1" w:color="00B5AC" w:themeColor="text2"/>
      </w:pBdr>
      <w:spacing w:before="300" w:line="240" w:lineRule="auto"/>
      <w:outlineLvl w:val="1"/>
    </w:pPr>
    <w:rPr>
      <w:rFonts w:asciiTheme="majorHAnsi" w:eastAsiaTheme="majorEastAsia" w:hAnsiTheme="majorHAnsi" w:cstheme="majorBidi"/>
      <w:b/>
      <w:bCs/>
      <w:color w:val="00B5AC" w:themeColor="text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3DD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E7C452" w:themeColor="accen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2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23F"/>
  </w:style>
  <w:style w:type="paragraph" w:styleId="Footer">
    <w:name w:val="footer"/>
    <w:basedOn w:val="Normal"/>
    <w:link w:val="FooterChar"/>
    <w:uiPriority w:val="99"/>
    <w:unhideWhenUsed/>
    <w:rsid w:val="00C72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23F"/>
  </w:style>
  <w:style w:type="paragraph" w:styleId="BalloonText">
    <w:name w:val="Balloon Text"/>
    <w:basedOn w:val="Normal"/>
    <w:link w:val="BalloonTextChar"/>
    <w:uiPriority w:val="99"/>
    <w:semiHidden/>
    <w:unhideWhenUsed/>
    <w:rsid w:val="00C7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23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D654A"/>
    <w:pPr>
      <w:pBdr>
        <w:bottom w:val="single" w:sz="8" w:space="4" w:color="E7C45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8780" w:themeColor="text2" w:themeShade="BF"/>
      <w:spacing w:val="5"/>
      <w:kern w:val="28"/>
      <w:sz w:val="144"/>
      <w:szCs w:val="52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9D654A"/>
    <w:rPr>
      <w:rFonts w:asciiTheme="majorHAnsi" w:eastAsiaTheme="majorEastAsia" w:hAnsiTheme="majorHAnsi" w:cstheme="majorBidi"/>
      <w:color w:val="008780" w:themeColor="text2" w:themeShade="BF"/>
      <w:spacing w:val="5"/>
      <w:kern w:val="28"/>
      <w:sz w:val="144"/>
      <w:szCs w:val="5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654A"/>
    <w:pPr>
      <w:numPr>
        <w:ilvl w:val="1"/>
      </w:numPr>
      <w:spacing w:line="240" w:lineRule="auto"/>
      <w:jc w:val="center"/>
    </w:pPr>
    <w:rPr>
      <w:rFonts w:ascii="Proxima Nova Rg" w:eastAsiaTheme="majorEastAsia" w:hAnsi="Proxima Nova Rg" w:cstheme="majorBidi"/>
      <w:iCs/>
      <w:color w:val="FFFFFF" w:themeColor="background1"/>
      <w:spacing w:val="15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D654A"/>
    <w:rPr>
      <w:rFonts w:ascii="Proxima Nova Rg" w:eastAsiaTheme="majorEastAsia" w:hAnsi="Proxima Nova Rg" w:cstheme="majorBidi"/>
      <w:iCs/>
      <w:color w:val="FFFFFF" w:themeColor="background1"/>
      <w:spacing w:val="15"/>
      <w:sz w:val="36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83DD4"/>
    <w:rPr>
      <w:rFonts w:asciiTheme="majorHAnsi" w:eastAsiaTheme="majorEastAsia" w:hAnsiTheme="majorHAnsi" w:cstheme="majorBidi"/>
      <w:b/>
      <w:bCs/>
      <w:color w:val="26967E" w:themeColor="text1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3DD4"/>
    <w:rPr>
      <w:rFonts w:asciiTheme="majorHAnsi" w:eastAsiaTheme="majorEastAsia" w:hAnsiTheme="majorHAnsi" w:cstheme="majorBidi"/>
      <w:b/>
      <w:bCs/>
      <w:color w:val="00B5AC" w:themeColor="text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83DD4"/>
    <w:rPr>
      <w:rFonts w:asciiTheme="majorHAnsi" w:eastAsiaTheme="majorEastAsia" w:hAnsiTheme="majorHAnsi" w:cstheme="majorBidi"/>
      <w:b/>
      <w:bCs/>
      <w:color w:val="E7C452" w:themeColor="accent1"/>
      <w:sz w:val="36"/>
    </w:rPr>
  </w:style>
  <w:style w:type="paragraph" w:styleId="ListParagraph">
    <w:name w:val="List Paragraph"/>
    <w:basedOn w:val="Normal"/>
    <w:uiPriority w:val="34"/>
    <w:qFormat/>
    <w:rsid w:val="00783D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60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49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957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50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093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1414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54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7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5012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5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7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7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83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1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57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gramypojistoven.cz/informace-o-pojistovnach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chrance.cz/aktualne/tiskove-zpravy-2016/zdravotni-pojistovny-jsou-povinny-poskytovat-informace-dle-zakona-o-svobodnem-pristupu-k-info/" TargetMode="Externa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26967E"/>
      </a:dk1>
      <a:lt1>
        <a:srgbClr val="FFFFFF"/>
      </a:lt1>
      <a:dk2>
        <a:srgbClr val="00B5AC"/>
      </a:dk2>
      <a:lt2>
        <a:srgbClr val="EEECE1"/>
      </a:lt2>
      <a:accent1>
        <a:srgbClr val="E7C452"/>
      </a:accent1>
      <a:accent2>
        <a:srgbClr val="EFD789"/>
      </a:accent2>
      <a:accent3>
        <a:srgbClr val="D5A91D"/>
      </a:accent3>
      <a:accent4>
        <a:srgbClr val="E7C452"/>
      </a:accent4>
      <a:accent5>
        <a:srgbClr val="EFD789"/>
      </a:accent5>
      <a:accent6>
        <a:srgbClr val="D5A91D"/>
      </a:accent6>
      <a:hlink>
        <a:srgbClr val="145043"/>
      </a:hlink>
      <a:folHlink>
        <a:srgbClr val="00EEE3"/>
      </a:folHlink>
    </a:clrScheme>
    <a:fontScheme name="Open">
      <a:majorFont>
        <a:latin typeface="Proxima Nova Bl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1344</Words>
  <Characters>7936</Characters>
  <Application>Microsoft Office Word</Application>
  <DocSecurity>0</DocSecurity>
  <Lines>66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Adam Rut</cp:lastModifiedBy>
  <cp:revision>2</cp:revision>
  <dcterms:created xsi:type="dcterms:W3CDTF">2016-12-05T10:32:00Z</dcterms:created>
  <dcterms:modified xsi:type="dcterms:W3CDTF">2016-12-05T10:32:00Z</dcterms:modified>
</cp:coreProperties>
</file>